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160F" w14:textId="15D0DE51" w:rsidR="000E7A15" w:rsidRPr="000E7A15" w:rsidRDefault="000E7A15" w:rsidP="000E7A15">
      <w:pPr>
        <w:shd w:val="clear" w:color="auto" w:fill="FFFFFF"/>
        <w:spacing w:after="0" w:line="240" w:lineRule="auto"/>
        <w:ind w:right="300"/>
        <w:jc w:val="center"/>
        <w:textAlignment w:val="baseline"/>
        <w:rPr>
          <w:rFonts w:ascii="Segoe UI" w:eastAsia="Calibri" w:hAnsi="Segoe UI" w:cs="Segoe UI"/>
          <w:sz w:val="21"/>
          <w:szCs w:val="21"/>
          <w:u w:val="single"/>
        </w:rPr>
      </w:pPr>
      <w:r w:rsidRPr="000E7A15">
        <w:rPr>
          <w:rFonts w:ascii="Avenir Medium" w:eastAsia="Calibri" w:hAnsi="Avenir Medium" w:cs="Calibri"/>
          <w:color w:val="000000"/>
          <w:sz w:val="24"/>
          <w:szCs w:val="24"/>
          <w:u w:val="single"/>
        </w:rPr>
        <w:t>Office of the Vice President and Dean for Undergraduate Education</w:t>
      </w:r>
    </w:p>
    <w:p w14:paraId="4834348D" w14:textId="77777777" w:rsidR="000E7A15" w:rsidRDefault="000E7A15" w:rsidP="000E7A15">
      <w:pPr>
        <w:shd w:val="clear" w:color="auto" w:fill="FFFFFF"/>
        <w:spacing w:after="0" w:line="240" w:lineRule="auto"/>
        <w:ind w:right="300"/>
        <w:jc w:val="center"/>
        <w:textAlignment w:val="baseline"/>
        <w:rPr>
          <w:rFonts w:ascii="Avenir Medium" w:eastAsia="Calibri" w:hAnsi="Avenir Medium" w:cs="Calibri"/>
          <w:color w:val="000000"/>
          <w:sz w:val="24"/>
          <w:szCs w:val="24"/>
        </w:rPr>
      </w:pPr>
    </w:p>
    <w:p w14:paraId="40CF0DFF" w14:textId="08ED7BC8" w:rsidR="000E7A15" w:rsidRPr="000E7A15" w:rsidRDefault="000E7A15" w:rsidP="000E7A15">
      <w:pPr>
        <w:shd w:val="clear" w:color="auto" w:fill="FFFFFF"/>
        <w:spacing w:after="0" w:line="240" w:lineRule="auto"/>
        <w:ind w:right="300"/>
        <w:jc w:val="center"/>
        <w:textAlignment w:val="baseline"/>
        <w:rPr>
          <w:rFonts w:ascii="Segoe UI" w:eastAsia="Calibri" w:hAnsi="Segoe UI" w:cs="Segoe UI"/>
          <w:sz w:val="21"/>
          <w:szCs w:val="21"/>
        </w:rPr>
      </w:pPr>
      <w:r w:rsidRPr="000E7A15">
        <w:rPr>
          <w:rFonts w:ascii="Avenir Medium" w:eastAsia="Calibri" w:hAnsi="Avenir Medium" w:cs="Calibri"/>
          <w:color w:val="000000"/>
          <w:sz w:val="24"/>
          <w:szCs w:val="24"/>
        </w:rPr>
        <w:t>Information for Administrative Fellow Applicants for 2022–2023</w:t>
      </w:r>
    </w:p>
    <w:p w14:paraId="10BEDCBE" w14:textId="77777777" w:rsidR="000E7A15" w:rsidRDefault="000E7A15" w:rsidP="000E7A15">
      <w:pPr>
        <w:shd w:val="clear" w:color="auto" w:fill="FFFFFF"/>
        <w:spacing w:after="0" w:line="240" w:lineRule="auto"/>
        <w:ind w:right="300"/>
        <w:textAlignment w:val="baseline"/>
        <w:rPr>
          <w:rFonts w:ascii="Avenir" w:eastAsia="Calibri" w:hAnsi="Avenir" w:cs="Calibri"/>
          <w:color w:val="000000"/>
          <w:sz w:val="24"/>
          <w:szCs w:val="24"/>
        </w:rPr>
      </w:pPr>
    </w:p>
    <w:p w14:paraId="6258D397" w14:textId="3F754402" w:rsidR="000E7A15" w:rsidRPr="000E7A15" w:rsidRDefault="000E7A15" w:rsidP="000E7A15">
      <w:pPr>
        <w:shd w:val="clear" w:color="auto" w:fill="FFFFFF"/>
        <w:spacing w:after="0" w:line="240" w:lineRule="auto"/>
        <w:ind w:right="300"/>
        <w:textAlignment w:val="baseline"/>
        <w:rPr>
          <w:rFonts w:ascii="Avenir" w:eastAsia="Calibri" w:hAnsi="Avenir" w:cs="Calibri"/>
          <w:color w:val="000000"/>
          <w:sz w:val="24"/>
          <w:szCs w:val="24"/>
          <w:shd w:val="clear" w:color="auto" w:fill="FFFFFF"/>
        </w:rPr>
      </w:pPr>
      <w:r w:rsidRPr="000E7A15">
        <w:rPr>
          <w:rFonts w:ascii="Avenir" w:eastAsia="Calibri" w:hAnsi="Avenir" w:cs="Calibri"/>
          <w:color w:val="000000"/>
          <w:sz w:val="24"/>
          <w:szCs w:val="24"/>
        </w:rPr>
        <w:t>As vice president and dean</w:t>
      </w:r>
      <w:r w:rsidRPr="000E7A15">
        <w:rPr>
          <w:rFonts w:ascii="Times New Roman" w:eastAsia="Calibri" w:hAnsi="Times New Roman" w:cs="Times New Roman"/>
          <w:color w:val="000000"/>
          <w:sz w:val="24"/>
          <w:szCs w:val="24"/>
        </w:rPr>
        <w:t> </w:t>
      </w:r>
      <w:r w:rsidRPr="000E7A15">
        <w:rPr>
          <w:rFonts w:ascii="Avenir" w:eastAsia="Calibri" w:hAnsi="Avenir" w:cs="Calibri"/>
          <w:color w:val="000000"/>
          <w:sz w:val="24"/>
          <w:szCs w:val="24"/>
        </w:rPr>
        <w:t xml:space="preserve">for </w:t>
      </w:r>
      <w:hyperlink r:id="rId4" w:history="1">
        <w:r w:rsidRPr="000E7A15">
          <w:rPr>
            <w:rFonts w:ascii="Avenir" w:eastAsia="Calibri" w:hAnsi="Avenir" w:cs="Calibri"/>
            <w:color w:val="0563C1"/>
            <w:sz w:val="24"/>
            <w:szCs w:val="24"/>
            <w:u w:val="single"/>
          </w:rPr>
          <w:t>Undergraduate Education</w:t>
        </w:r>
      </w:hyperlink>
      <w:r w:rsidRPr="000E7A15">
        <w:rPr>
          <w:rFonts w:ascii="Avenir" w:eastAsia="Calibri" w:hAnsi="Avenir" w:cs="Calibri"/>
          <w:color w:val="000000"/>
          <w:sz w:val="24"/>
          <w:szCs w:val="24"/>
        </w:rPr>
        <w:t>,</w:t>
      </w:r>
      <w:r w:rsidRPr="000E7A15">
        <w:rPr>
          <w:rFonts w:ascii="Times New Roman" w:eastAsia="Calibri" w:hAnsi="Times New Roman" w:cs="Times New Roman"/>
          <w:color w:val="000000"/>
          <w:sz w:val="24"/>
          <w:szCs w:val="24"/>
        </w:rPr>
        <w:t> </w:t>
      </w:r>
      <w:r w:rsidRPr="000E7A15">
        <w:rPr>
          <w:rFonts w:ascii="Avenir" w:eastAsia="Calibri" w:hAnsi="Avenir" w:cs="Calibri"/>
          <w:color w:val="000000"/>
          <w:sz w:val="24"/>
          <w:szCs w:val="24"/>
        </w:rPr>
        <w:t>Dr. Yvonne Gaudelius</w:t>
      </w:r>
      <w:r w:rsidRPr="000E7A15">
        <w:rPr>
          <w:rFonts w:ascii="Times New Roman" w:eastAsia="Calibri" w:hAnsi="Times New Roman" w:cs="Times New Roman"/>
          <w:color w:val="000000"/>
          <w:sz w:val="24"/>
          <w:szCs w:val="24"/>
        </w:rPr>
        <w:t> </w:t>
      </w:r>
      <w:r w:rsidRPr="000E7A15">
        <w:rPr>
          <w:rFonts w:ascii="Avenir" w:eastAsia="Calibri" w:hAnsi="Avenir" w:cs="Calibri"/>
          <w:color w:val="000000"/>
          <w:sz w:val="24"/>
          <w:szCs w:val="24"/>
        </w:rPr>
        <w:t xml:space="preserve">possesses nearly 30 years of experience in higher education. In her role, Dr. Gaudelius leads the Undergraduate Education academic administration unit that provides leadership and coordination for </w:t>
      </w:r>
      <w:proofErr w:type="gramStart"/>
      <w:r w:rsidRPr="000E7A15">
        <w:rPr>
          <w:rFonts w:ascii="Avenir" w:eastAsia="Calibri" w:hAnsi="Avenir" w:cs="Calibri"/>
          <w:color w:val="000000"/>
          <w:sz w:val="24"/>
          <w:szCs w:val="24"/>
        </w:rPr>
        <w:t>University</w:t>
      </w:r>
      <w:proofErr w:type="gramEnd"/>
      <w:r w:rsidRPr="000E7A15">
        <w:rPr>
          <w:rFonts w:ascii="Avenir" w:eastAsia="Calibri" w:hAnsi="Avenir" w:cs="Calibri"/>
          <w:color w:val="000000"/>
          <w:sz w:val="24"/>
          <w:szCs w:val="24"/>
        </w:rPr>
        <w:t>-wide initiatives in support of undergraduate teaching and learning at Penn State. Composed of seventeen units, Undergraduate Education </w:t>
      </w:r>
      <w:r w:rsidRPr="000E7A15">
        <w:rPr>
          <w:rFonts w:ascii="Avenir" w:eastAsia="Calibri" w:hAnsi="Avenir" w:cs="Calibri"/>
          <w:color w:val="000000"/>
          <w:sz w:val="24"/>
          <w:szCs w:val="24"/>
          <w:shd w:val="clear" w:color="auto" w:fill="FFFFFF"/>
        </w:rPr>
        <w:t>works closely with faculty and academic units to create stimulating learning environments inside the classroom while providing avenues for learning outside the classroom and provides leadership and advocacy as Penn State becomes a more student-centered university.</w:t>
      </w:r>
    </w:p>
    <w:p w14:paraId="04BA2D89" w14:textId="77777777" w:rsidR="000E7A15" w:rsidRPr="000E7A15" w:rsidRDefault="000E7A15" w:rsidP="000E7A15">
      <w:pPr>
        <w:shd w:val="clear" w:color="auto" w:fill="FFFFFF"/>
        <w:spacing w:after="0" w:line="240" w:lineRule="auto"/>
        <w:ind w:right="300"/>
        <w:textAlignment w:val="baseline"/>
        <w:rPr>
          <w:rFonts w:ascii="Segoe UI" w:eastAsia="Calibri" w:hAnsi="Segoe UI" w:cs="Segoe UI"/>
          <w:sz w:val="21"/>
          <w:szCs w:val="21"/>
        </w:rPr>
      </w:pPr>
    </w:p>
    <w:p w14:paraId="71C0937D" w14:textId="77777777" w:rsidR="000E7A15" w:rsidRDefault="000E7A15" w:rsidP="000E7A15">
      <w:pPr>
        <w:shd w:val="clear" w:color="auto" w:fill="FFFFFF"/>
        <w:spacing w:after="0" w:line="240" w:lineRule="auto"/>
        <w:ind w:right="300"/>
        <w:textAlignment w:val="baseline"/>
        <w:rPr>
          <w:rFonts w:ascii="Avenir" w:eastAsia="Calibri" w:hAnsi="Avenir" w:cs="Calibri"/>
          <w:color w:val="000000"/>
          <w:sz w:val="24"/>
          <w:szCs w:val="24"/>
        </w:rPr>
      </w:pPr>
      <w:r w:rsidRPr="000E7A15">
        <w:rPr>
          <w:rFonts w:ascii="Avenir" w:eastAsia="Calibri" w:hAnsi="Avenir" w:cs="Calibri"/>
          <w:color w:val="000000"/>
          <w:sz w:val="24"/>
          <w:szCs w:val="24"/>
        </w:rPr>
        <w:t>Dr.</w:t>
      </w:r>
      <w:r w:rsidRPr="000E7A15">
        <w:rPr>
          <w:rFonts w:ascii="Times New Roman" w:eastAsia="Calibri" w:hAnsi="Times New Roman" w:cs="Times New Roman"/>
          <w:color w:val="000000"/>
          <w:sz w:val="24"/>
          <w:szCs w:val="24"/>
        </w:rPr>
        <w:t> </w:t>
      </w:r>
      <w:r w:rsidRPr="000E7A15">
        <w:rPr>
          <w:rFonts w:ascii="Avenir" w:eastAsia="Calibri" w:hAnsi="Avenir" w:cs="Calibri"/>
          <w:color w:val="000000"/>
          <w:sz w:val="24"/>
          <w:szCs w:val="24"/>
        </w:rPr>
        <w:t>Gaudelius</w:t>
      </w:r>
      <w:r w:rsidRPr="000E7A15">
        <w:rPr>
          <w:rFonts w:ascii="Times New Roman" w:eastAsia="Calibri" w:hAnsi="Times New Roman" w:cs="Times New Roman"/>
          <w:color w:val="000000"/>
          <w:sz w:val="24"/>
          <w:szCs w:val="24"/>
        </w:rPr>
        <w:t> </w:t>
      </w:r>
      <w:r w:rsidRPr="000E7A15">
        <w:rPr>
          <w:rFonts w:ascii="Avenir" w:eastAsia="Calibri" w:hAnsi="Avenir" w:cs="Calibri"/>
          <w:color w:val="000000"/>
          <w:sz w:val="24"/>
          <w:szCs w:val="24"/>
        </w:rPr>
        <w:t>is responsible for coordinating enrollment management and planning across the 20 campuses offering undergraduate programs, as well as registrar and student aid services for undergraduate, graduate, and professional programs in law and medicine University-wide, with a total enrollment of nearly 100,000 students receiving over $1 billion in federal, state, and institutional financial aid. The</w:t>
      </w:r>
      <w:r w:rsidRPr="000E7A15">
        <w:rPr>
          <w:rFonts w:ascii="Times New Roman" w:eastAsia="Calibri" w:hAnsi="Times New Roman" w:cs="Times New Roman"/>
          <w:color w:val="000000"/>
          <w:sz w:val="24"/>
          <w:szCs w:val="24"/>
        </w:rPr>
        <w:t> </w:t>
      </w:r>
      <w:r w:rsidRPr="000E7A15">
        <w:rPr>
          <w:rFonts w:ascii="Avenir" w:eastAsia="Calibri" w:hAnsi="Avenir" w:cs="Calibri"/>
          <w:color w:val="000000"/>
          <w:sz w:val="24"/>
          <w:szCs w:val="24"/>
        </w:rPr>
        <w:t>enrollment</w:t>
      </w:r>
      <w:r w:rsidRPr="000E7A15">
        <w:rPr>
          <w:rFonts w:ascii="Times New Roman" w:eastAsia="Calibri" w:hAnsi="Times New Roman" w:cs="Times New Roman"/>
          <w:color w:val="000000"/>
          <w:sz w:val="24"/>
          <w:szCs w:val="24"/>
        </w:rPr>
        <w:t> </w:t>
      </w:r>
      <w:r w:rsidRPr="000E7A15">
        <w:rPr>
          <w:rFonts w:ascii="Avenir" w:eastAsia="Calibri" w:hAnsi="Avenir" w:cs="Calibri"/>
          <w:color w:val="000000"/>
          <w:sz w:val="24"/>
          <w:szCs w:val="24"/>
        </w:rPr>
        <w:t>management units</w:t>
      </w:r>
      <w:r w:rsidRPr="000E7A15">
        <w:rPr>
          <w:rFonts w:ascii="Times New Roman" w:eastAsia="Calibri" w:hAnsi="Times New Roman" w:cs="Times New Roman"/>
          <w:color w:val="000000"/>
          <w:sz w:val="24"/>
          <w:szCs w:val="24"/>
        </w:rPr>
        <w:t> </w:t>
      </w:r>
      <w:r w:rsidRPr="000E7A15">
        <w:rPr>
          <w:rFonts w:ascii="Avenir" w:eastAsia="Calibri" w:hAnsi="Avenir" w:cs="Calibri"/>
          <w:color w:val="000000"/>
          <w:sz w:val="24"/>
          <w:szCs w:val="24"/>
        </w:rPr>
        <w:t>comprise the Undergraduate Admissions Office, the University Registrar, and the Office of Student Aid.</w:t>
      </w:r>
      <w:r w:rsidRPr="000E7A15">
        <w:rPr>
          <w:rFonts w:ascii="Times New Roman" w:eastAsia="Calibri" w:hAnsi="Times New Roman" w:cs="Times New Roman"/>
          <w:color w:val="000000"/>
          <w:sz w:val="24"/>
          <w:szCs w:val="24"/>
        </w:rPr>
        <w:t> </w:t>
      </w:r>
    </w:p>
    <w:p w14:paraId="52AF4F3C" w14:textId="77777777" w:rsidR="000E7A15" w:rsidRDefault="000E7A15" w:rsidP="000E7A15">
      <w:pPr>
        <w:shd w:val="clear" w:color="auto" w:fill="FFFFFF"/>
        <w:spacing w:after="0" w:line="240" w:lineRule="auto"/>
        <w:ind w:right="300"/>
        <w:textAlignment w:val="baseline"/>
        <w:rPr>
          <w:rFonts w:ascii="Avenir" w:eastAsia="Calibri" w:hAnsi="Avenir" w:cs="Calibri"/>
          <w:color w:val="000000"/>
          <w:sz w:val="24"/>
          <w:szCs w:val="24"/>
        </w:rPr>
      </w:pPr>
    </w:p>
    <w:p w14:paraId="241CC65C" w14:textId="03E71222" w:rsidR="000E7A15" w:rsidRPr="000E7A15" w:rsidRDefault="000E7A15" w:rsidP="000E7A15">
      <w:pPr>
        <w:shd w:val="clear" w:color="auto" w:fill="FFFFFF"/>
        <w:spacing w:after="0" w:line="240" w:lineRule="auto"/>
        <w:ind w:right="300"/>
        <w:textAlignment w:val="baseline"/>
        <w:rPr>
          <w:rFonts w:ascii="Segoe UI" w:eastAsia="Calibri" w:hAnsi="Segoe UI" w:cs="Segoe UI"/>
          <w:sz w:val="21"/>
          <w:szCs w:val="21"/>
        </w:rPr>
      </w:pPr>
      <w:r w:rsidRPr="000E7A15">
        <w:rPr>
          <w:rFonts w:ascii="Avenir" w:eastAsia="Calibri" w:hAnsi="Avenir" w:cs="Calibri"/>
          <w:color w:val="000000"/>
          <w:sz w:val="24"/>
          <w:szCs w:val="24"/>
        </w:rPr>
        <w:t>University-wide programming and initiatives in support of undergraduate teaching and learning at Penn State, including orientation and transition programs; undergraduate research experiences; internships, fellowships and engaged scholarship; cross-campus curricular coherence and integration; general education and learning support services; prior learning assessment; faculty development; summer sessions; and student advising and success also fall under Dr. Gaudelius’ leadership. </w:t>
      </w:r>
      <w:r w:rsidRPr="000E7A15">
        <w:rPr>
          <w:rFonts w:ascii="Times New Roman" w:eastAsia="Calibri" w:hAnsi="Times New Roman" w:cs="Times New Roman"/>
          <w:color w:val="000000"/>
          <w:sz w:val="24"/>
          <w:szCs w:val="24"/>
        </w:rPr>
        <w:t> </w:t>
      </w:r>
      <w:r w:rsidRPr="000E7A15">
        <w:rPr>
          <w:rFonts w:ascii="Avenir" w:eastAsia="Calibri" w:hAnsi="Avenir" w:cs="Calibri"/>
          <w:color w:val="000000"/>
          <w:sz w:val="24"/>
          <w:szCs w:val="24"/>
        </w:rPr>
        <w:t> </w:t>
      </w:r>
    </w:p>
    <w:p w14:paraId="7EF2742F" w14:textId="77777777" w:rsidR="000E7A15" w:rsidRPr="000E7A15" w:rsidRDefault="000E7A15" w:rsidP="000E7A15">
      <w:pPr>
        <w:shd w:val="clear" w:color="auto" w:fill="FFFFFF"/>
        <w:spacing w:after="0" w:line="240" w:lineRule="auto"/>
        <w:ind w:right="300"/>
        <w:textAlignment w:val="baseline"/>
        <w:rPr>
          <w:rFonts w:ascii="Segoe UI" w:eastAsia="Calibri" w:hAnsi="Segoe UI" w:cs="Segoe UI"/>
          <w:sz w:val="21"/>
          <w:szCs w:val="21"/>
        </w:rPr>
      </w:pPr>
    </w:p>
    <w:p w14:paraId="36603B31" w14:textId="77777777" w:rsidR="000E7A15" w:rsidRPr="000E7A15" w:rsidRDefault="000E7A15" w:rsidP="000E7A15">
      <w:pPr>
        <w:shd w:val="clear" w:color="auto" w:fill="FFFFFF"/>
        <w:spacing w:after="0" w:line="240" w:lineRule="auto"/>
        <w:ind w:right="300"/>
        <w:textAlignment w:val="baseline"/>
        <w:rPr>
          <w:rFonts w:ascii="Segoe UI" w:eastAsia="Calibri" w:hAnsi="Segoe UI" w:cs="Segoe UI"/>
          <w:sz w:val="21"/>
          <w:szCs w:val="21"/>
        </w:rPr>
      </w:pPr>
      <w:r w:rsidRPr="000E7A15">
        <w:rPr>
          <w:rFonts w:ascii="Avenir" w:eastAsia="Calibri" w:hAnsi="Avenir" w:cs="Calibri"/>
          <w:color w:val="000000"/>
          <w:sz w:val="24"/>
          <w:szCs w:val="24"/>
          <w:shd w:val="clear" w:color="auto" w:fill="FFFFFF"/>
        </w:rPr>
        <w:t>Dr. Gaudelius serves</w:t>
      </w:r>
      <w:r w:rsidRPr="000E7A15">
        <w:rPr>
          <w:rFonts w:ascii="Avenir" w:eastAsia="Calibri" w:hAnsi="Avenir" w:cs="Calibri"/>
          <w:color w:val="000000"/>
          <w:sz w:val="24"/>
          <w:szCs w:val="24"/>
        </w:rPr>
        <w:t> as a member of the President’s Council, the Academic Leadership Council and Provost’s staff. The vice president and dean also</w:t>
      </w:r>
      <w:r w:rsidRPr="000E7A15">
        <w:rPr>
          <w:rFonts w:ascii="Times New Roman" w:eastAsia="Calibri" w:hAnsi="Times New Roman" w:cs="Times New Roman"/>
          <w:color w:val="000000"/>
          <w:sz w:val="24"/>
          <w:szCs w:val="24"/>
        </w:rPr>
        <w:t> </w:t>
      </w:r>
      <w:proofErr w:type="gramStart"/>
      <w:r w:rsidRPr="000E7A15">
        <w:rPr>
          <w:rFonts w:ascii="Avenir" w:eastAsia="Calibri" w:hAnsi="Avenir" w:cs="Calibri"/>
          <w:color w:val="000000"/>
          <w:sz w:val="24"/>
          <w:szCs w:val="24"/>
        </w:rPr>
        <w:t>serves</w:t>
      </w:r>
      <w:proofErr w:type="gramEnd"/>
      <w:r w:rsidRPr="000E7A15">
        <w:rPr>
          <w:rFonts w:ascii="Times New Roman" w:eastAsia="Calibri" w:hAnsi="Times New Roman" w:cs="Times New Roman"/>
          <w:color w:val="000000"/>
          <w:sz w:val="24"/>
          <w:szCs w:val="24"/>
        </w:rPr>
        <w:t> </w:t>
      </w:r>
      <w:r w:rsidRPr="000E7A15">
        <w:rPr>
          <w:rFonts w:ascii="Avenir" w:eastAsia="Calibri" w:hAnsi="Avenir" w:cs="Calibri"/>
          <w:color w:val="000000"/>
          <w:sz w:val="24"/>
          <w:szCs w:val="24"/>
        </w:rPr>
        <w:t>as a liaison to the Academic Affairs and Student Life Committee of the University Board of Trustees and works with the Administrative Council on Undergraduate Education, a body that is advisory to the vice president and dean. </w:t>
      </w:r>
    </w:p>
    <w:p w14:paraId="24CB940E" w14:textId="77777777" w:rsidR="000E7A15" w:rsidRPr="000E7A15" w:rsidRDefault="000E7A15" w:rsidP="000E7A15">
      <w:pPr>
        <w:spacing w:after="0" w:line="240" w:lineRule="auto"/>
        <w:textAlignment w:val="baseline"/>
        <w:rPr>
          <w:rFonts w:ascii="Segoe UI" w:eastAsia="Calibri" w:hAnsi="Segoe UI" w:cs="Segoe UI"/>
          <w:color w:val="000000"/>
          <w:sz w:val="21"/>
          <w:szCs w:val="21"/>
        </w:rPr>
      </w:pPr>
      <w:r w:rsidRPr="000E7A15">
        <w:rPr>
          <w:rFonts w:ascii="Avenir" w:eastAsia="Calibri" w:hAnsi="Avenir" w:cs="Calibri"/>
          <w:color w:val="000000"/>
          <w:sz w:val="24"/>
          <w:szCs w:val="24"/>
        </w:rPr>
        <w:t> </w:t>
      </w:r>
    </w:p>
    <w:p w14:paraId="30FB9AFA" w14:textId="424BA87D" w:rsidR="000E7A15" w:rsidRPr="000E7A15" w:rsidRDefault="000E7A15" w:rsidP="000E7A15">
      <w:pPr>
        <w:shd w:val="clear" w:color="auto" w:fill="FFFFFF"/>
        <w:spacing w:after="0" w:line="240" w:lineRule="auto"/>
        <w:ind w:right="300"/>
        <w:textAlignment w:val="baseline"/>
        <w:rPr>
          <w:rFonts w:ascii="Segoe UI" w:eastAsia="Calibri" w:hAnsi="Segoe UI" w:cs="Segoe UI"/>
          <w:sz w:val="21"/>
          <w:szCs w:val="21"/>
        </w:rPr>
      </w:pPr>
      <w:r w:rsidRPr="000E7A15">
        <w:rPr>
          <w:rFonts w:ascii="Avenir" w:eastAsia="Calibri" w:hAnsi="Avenir" w:cs="Calibri"/>
          <w:color w:val="000000"/>
          <w:sz w:val="24"/>
          <w:szCs w:val="24"/>
        </w:rPr>
        <w:t>An Administrative Fellow in the Office of the Vice President and Dean for Undergraduate Education will have the opportunity to work on many projects related to undergraduate education, including recruitment and retention of students, student engagement and success, diversity, equity, and inclusion, undergraduate policies and procedures, collaboration with the University Faculty Senate and other strategic priorities. The Fellow will engage regularly with Dr. Gaudelius and other Undergraduate Education leaders throughout the academic year. </w:t>
      </w:r>
    </w:p>
    <w:p w14:paraId="2DA07F52" w14:textId="77777777" w:rsidR="008241B8" w:rsidRDefault="008241B8"/>
    <w:sectPr w:rsidR="00824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Medium">
    <w:altName w:val="Calibri"/>
    <w:charset w:val="00"/>
    <w:family w:val="auto"/>
    <w:pitch w:val="default"/>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15"/>
    <w:rsid w:val="000E7A15"/>
    <w:rsid w:val="0082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6029"/>
  <w15:chartTrackingRefBased/>
  <w15:docId w15:val="{6B13E134-8C80-45DF-9C53-0433E0D4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dergrad.psu.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8" ma:contentTypeDescription="Create a new document." ma:contentTypeScope="" ma:versionID="2883ce58f6ab0a42063726775661c988">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74883e94a6e04d629e2b14472bd3abca"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Notes xmlns="5596cf31-caaa-46ba-a55f-3befb4344fdf" xsi:nil="true"/>
  </documentManagement>
</p:properties>
</file>

<file path=customXml/itemProps1.xml><?xml version="1.0" encoding="utf-8"?>
<ds:datastoreItem xmlns:ds="http://schemas.openxmlformats.org/officeDocument/2006/customXml" ds:itemID="{EA13A41C-B477-49EA-82DA-2F96B69995A3}"/>
</file>

<file path=customXml/itemProps2.xml><?xml version="1.0" encoding="utf-8"?>
<ds:datastoreItem xmlns:ds="http://schemas.openxmlformats.org/officeDocument/2006/customXml" ds:itemID="{D7ACA1DA-FAF9-4796-B666-37E449245C78}"/>
</file>

<file path=customXml/itemProps3.xml><?xml version="1.0" encoding="utf-8"?>
<ds:datastoreItem xmlns:ds="http://schemas.openxmlformats.org/officeDocument/2006/customXml" ds:itemID="{58533B9E-D8D3-4A82-A2A3-62B23F59AC62}"/>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Blumenthal, Wendy J</dc:creator>
  <cp:keywords/>
  <dc:description/>
  <cp:lastModifiedBy>Blumenthal, Wendy J</cp:lastModifiedBy>
  <cp:revision>1</cp:revision>
  <dcterms:created xsi:type="dcterms:W3CDTF">2021-10-19T14:14:00Z</dcterms:created>
  <dcterms:modified xsi:type="dcterms:W3CDTF">2021-10-19T14:21:00Z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ies>
</file>