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0E28" w14:textId="16927F3B" w:rsidR="000455EC" w:rsidRDefault="00A932E5" w:rsidP="00A932E5">
      <w:pPr>
        <w:spacing w:after="0" w:line="240" w:lineRule="auto"/>
        <w:contextualSpacing/>
        <w:jc w:val="center"/>
        <w:rPr>
          <w:rFonts w:ascii="Arial" w:hAnsi="Arial" w:cs="Arial"/>
        </w:rPr>
      </w:pPr>
      <w:r w:rsidRPr="7F8DA9F3">
        <w:rPr>
          <w:rFonts w:ascii="Arial" w:hAnsi="Arial" w:cs="Arial"/>
        </w:rPr>
        <w:t>Non-Tenure</w:t>
      </w:r>
      <w:r w:rsidR="6A2B94D0" w:rsidRPr="7F8DA9F3">
        <w:rPr>
          <w:rFonts w:ascii="Arial" w:hAnsi="Arial" w:cs="Arial"/>
        </w:rPr>
        <w:t>-</w:t>
      </w:r>
      <w:r w:rsidRPr="7F8DA9F3">
        <w:rPr>
          <w:rFonts w:ascii="Arial" w:hAnsi="Arial" w:cs="Arial"/>
        </w:rPr>
        <w:t>Line</w:t>
      </w:r>
    </w:p>
    <w:p w14:paraId="00EBE8DD" w14:textId="52D84D4A" w:rsidR="00A932E5" w:rsidRDefault="00A932E5" w:rsidP="00A932E5">
      <w:pPr>
        <w:spacing w:after="0" w:line="240" w:lineRule="auto"/>
        <w:contextualSpacing/>
        <w:jc w:val="center"/>
        <w:rPr>
          <w:rFonts w:ascii="Arial" w:hAnsi="Arial" w:cs="Arial"/>
        </w:rPr>
      </w:pPr>
      <w:r w:rsidRPr="746B80D0">
        <w:rPr>
          <w:rFonts w:ascii="Arial" w:hAnsi="Arial" w:cs="Arial"/>
        </w:rPr>
        <w:t>Administrative Guidelines</w:t>
      </w:r>
    </w:p>
    <w:p w14:paraId="72A6E664" w14:textId="44370F1F" w:rsidR="624A5618" w:rsidRDefault="68AAF4BC" w:rsidP="624A5618">
      <w:pPr>
        <w:spacing w:after="0" w:line="240" w:lineRule="auto"/>
        <w:contextualSpacing/>
        <w:jc w:val="center"/>
        <w:rPr>
          <w:rFonts w:ascii="Arial" w:hAnsi="Arial" w:cs="Arial"/>
        </w:rPr>
      </w:pPr>
      <w:r w:rsidRPr="4B2D04CC">
        <w:rPr>
          <w:rFonts w:ascii="Arial" w:hAnsi="Arial" w:cs="Arial"/>
        </w:rPr>
        <w:t>2023-2024</w:t>
      </w:r>
    </w:p>
    <w:p w14:paraId="2E6FEE3C" w14:textId="77777777" w:rsidR="00E25C35" w:rsidRDefault="00E25C35" w:rsidP="11D6179D">
      <w:pPr>
        <w:rPr>
          <w:rFonts w:ascii="Arial" w:hAnsi="Arial" w:cs="Arial"/>
          <w:highlight w:val="yellow"/>
        </w:rPr>
      </w:pPr>
    </w:p>
    <w:p w14:paraId="058E350D" w14:textId="155D115E" w:rsidR="00D46218" w:rsidRDefault="11D6179D" w:rsidP="11D6179D">
      <w:pPr>
        <w:rPr>
          <w:rFonts w:ascii="Arial" w:hAnsi="Arial" w:cs="Arial"/>
          <w:highlight w:val="yellow"/>
        </w:rPr>
      </w:pPr>
      <w:r w:rsidRPr="11D6179D">
        <w:rPr>
          <w:rFonts w:ascii="Arial" w:hAnsi="Arial" w:cs="Arial"/>
          <w:highlight w:val="yellow"/>
        </w:rPr>
        <w:t>Changes from the previous version are highlighted in yellow.</w:t>
      </w:r>
    </w:p>
    <w:sdt>
      <w:sdtPr>
        <w:rPr>
          <w:rFonts w:asciiTheme="minorHAnsi" w:eastAsiaTheme="minorHAnsi" w:hAnsiTheme="minorHAnsi" w:cstheme="minorBidi"/>
          <w:color w:val="auto"/>
          <w:sz w:val="22"/>
          <w:szCs w:val="22"/>
        </w:rPr>
        <w:id w:val="194223150"/>
        <w:docPartObj>
          <w:docPartGallery w:val="Table of Contents"/>
          <w:docPartUnique/>
        </w:docPartObj>
      </w:sdtPr>
      <w:sdtEndPr/>
      <w:sdtContent>
        <w:p w14:paraId="6CC7D880" w14:textId="731FB258" w:rsidR="00421572" w:rsidRDefault="00421572">
          <w:pPr>
            <w:pStyle w:val="TOCHeading"/>
          </w:pPr>
          <w:r>
            <w:t>Contents</w:t>
          </w:r>
        </w:p>
        <w:p w14:paraId="7400CFD8" w14:textId="5A73BB43" w:rsidR="00635D9D" w:rsidRDefault="001B226F">
          <w:pPr>
            <w:pStyle w:val="TOC2"/>
            <w:rPr>
              <w:rFonts w:eastAsiaTheme="minorEastAsia"/>
              <w:noProof/>
              <w:kern w:val="2"/>
              <w14:ligatures w14:val="standardContextual"/>
            </w:rPr>
          </w:pPr>
          <w:r>
            <w:fldChar w:fldCharType="begin"/>
          </w:r>
          <w:r w:rsidR="00421572">
            <w:instrText>TOC \o "1-3" \h \z \u</w:instrText>
          </w:r>
          <w:r>
            <w:fldChar w:fldCharType="separate"/>
          </w:r>
          <w:hyperlink w:anchor="_Toc139283448" w:history="1">
            <w:r w:rsidR="00635D9D" w:rsidRPr="00400AA0">
              <w:rPr>
                <w:rStyle w:val="Hyperlink"/>
                <w:rFonts w:ascii="Calibri Light" w:eastAsia="Yu Gothic Light" w:hAnsi="Calibri Light" w:cs="Times New Roman"/>
                <w:b/>
                <w:bCs/>
                <w:noProof/>
              </w:rPr>
              <w:t>INTRODUCTION</w:t>
            </w:r>
            <w:r w:rsidR="00635D9D">
              <w:rPr>
                <w:noProof/>
                <w:webHidden/>
              </w:rPr>
              <w:tab/>
            </w:r>
            <w:r w:rsidR="00635D9D">
              <w:rPr>
                <w:noProof/>
                <w:webHidden/>
              </w:rPr>
              <w:fldChar w:fldCharType="begin"/>
            </w:r>
            <w:r w:rsidR="00635D9D">
              <w:rPr>
                <w:noProof/>
                <w:webHidden/>
              </w:rPr>
              <w:instrText xml:space="preserve"> PAGEREF _Toc139283448 \h </w:instrText>
            </w:r>
            <w:r w:rsidR="00635D9D">
              <w:rPr>
                <w:noProof/>
                <w:webHidden/>
              </w:rPr>
            </w:r>
            <w:r w:rsidR="00635D9D">
              <w:rPr>
                <w:noProof/>
                <w:webHidden/>
              </w:rPr>
              <w:fldChar w:fldCharType="separate"/>
            </w:r>
            <w:r w:rsidR="00635D9D">
              <w:rPr>
                <w:noProof/>
                <w:webHidden/>
              </w:rPr>
              <w:t>2</w:t>
            </w:r>
            <w:r w:rsidR="00635D9D">
              <w:rPr>
                <w:noProof/>
                <w:webHidden/>
              </w:rPr>
              <w:fldChar w:fldCharType="end"/>
            </w:r>
          </w:hyperlink>
        </w:p>
        <w:p w14:paraId="5E328262" w14:textId="4A5523CA" w:rsidR="00635D9D" w:rsidRDefault="00635D9D">
          <w:pPr>
            <w:pStyle w:val="TOC2"/>
            <w:rPr>
              <w:rFonts w:eastAsiaTheme="minorEastAsia"/>
              <w:noProof/>
              <w:kern w:val="2"/>
              <w14:ligatures w14:val="standardContextual"/>
            </w:rPr>
          </w:pPr>
          <w:hyperlink w:anchor="_Toc139283449" w:history="1">
            <w:r w:rsidRPr="00400AA0">
              <w:rPr>
                <w:rStyle w:val="Hyperlink"/>
                <w:b/>
                <w:bCs/>
                <w:noProof/>
              </w:rPr>
              <w:t>DEFINITIONS</w:t>
            </w:r>
            <w:r>
              <w:rPr>
                <w:noProof/>
                <w:webHidden/>
              </w:rPr>
              <w:tab/>
            </w:r>
            <w:r>
              <w:rPr>
                <w:noProof/>
                <w:webHidden/>
              </w:rPr>
              <w:fldChar w:fldCharType="begin"/>
            </w:r>
            <w:r>
              <w:rPr>
                <w:noProof/>
                <w:webHidden/>
              </w:rPr>
              <w:instrText xml:space="preserve"> PAGEREF _Toc139283449 \h </w:instrText>
            </w:r>
            <w:r>
              <w:rPr>
                <w:noProof/>
                <w:webHidden/>
              </w:rPr>
            </w:r>
            <w:r>
              <w:rPr>
                <w:noProof/>
                <w:webHidden/>
              </w:rPr>
              <w:fldChar w:fldCharType="separate"/>
            </w:r>
            <w:r>
              <w:rPr>
                <w:noProof/>
                <w:webHidden/>
              </w:rPr>
              <w:t>2</w:t>
            </w:r>
            <w:r>
              <w:rPr>
                <w:noProof/>
                <w:webHidden/>
              </w:rPr>
              <w:fldChar w:fldCharType="end"/>
            </w:r>
          </w:hyperlink>
        </w:p>
        <w:p w14:paraId="52C0DF9D" w14:textId="1816E3CC" w:rsidR="00635D9D" w:rsidRDefault="00635D9D">
          <w:pPr>
            <w:pStyle w:val="TOC2"/>
            <w:rPr>
              <w:rFonts w:eastAsiaTheme="minorEastAsia"/>
              <w:noProof/>
              <w:kern w:val="2"/>
              <w14:ligatures w14:val="standardContextual"/>
            </w:rPr>
          </w:pPr>
          <w:hyperlink w:anchor="_Toc139283450" w:history="1">
            <w:r w:rsidRPr="00400AA0">
              <w:rPr>
                <w:rStyle w:val="Hyperlink"/>
                <w:b/>
                <w:bCs/>
                <w:noProof/>
              </w:rPr>
              <w:t>HIRING NON-TENURE-LINE FACULTY AT THE SECOND OR THIRD RANK OR WITH CREDIT</w:t>
            </w:r>
            <w:r>
              <w:rPr>
                <w:noProof/>
                <w:webHidden/>
              </w:rPr>
              <w:tab/>
            </w:r>
            <w:r>
              <w:rPr>
                <w:noProof/>
                <w:webHidden/>
              </w:rPr>
              <w:fldChar w:fldCharType="begin"/>
            </w:r>
            <w:r>
              <w:rPr>
                <w:noProof/>
                <w:webHidden/>
              </w:rPr>
              <w:instrText xml:space="preserve"> PAGEREF _Toc139283450 \h </w:instrText>
            </w:r>
            <w:r>
              <w:rPr>
                <w:noProof/>
                <w:webHidden/>
              </w:rPr>
            </w:r>
            <w:r>
              <w:rPr>
                <w:noProof/>
                <w:webHidden/>
              </w:rPr>
              <w:fldChar w:fldCharType="separate"/>
            </w:r>
            <w:r>
              <w:rPr>
                <w:noProof/>
                <w:webHidden/>
              </w:rPr>
              <w:t>2</w:t>
            </w:r>
            <w:r>
              <w:rPr>
                <w:noProof/>
                <w:webHidden/>
              </w:rPr>
              <w:fldChar w:fldCharType="end"/>
            </w:r>
          </w:hyperlink>
        </w:p>
        <w:p w14:paraId="4C4F6718" w14:textId="17FD1B77" w:rsidR="00635D9D" w:rsidRDefault="00635D9D">
          <w:pPr>
            <w:pStyle w:val="TOC2"/>
            <w:rPr>
              <w:rFonts w:eastAsiaTheme="minorEastAsia"/>
              <w:noProof/>
              <w:kern w:val="2"/>
              <w14:ligatures w14:val="standardContextual"/>
            </w:rPr>
          </w:pPr>
          <w:hyperlink w:anchor="_Toc139283451" w:history="1">
            <w:r w:rsidRPr="00400AA0">
              <w:rPr>
                <w:rStyle w:val="Hyperlink"/>
                <w:b/>
                <w:bCs/>
                <w:noProof/>
              </w:rPr>
              <w:t>TRACKS FOR TERMINAL AND NON-TERMINAL DEGREES</w:t>
            </w:r>
            <w:r>
              <w:rPr>
                <w:noProof/>
                <w:webHidden/>
              </w:rPr>
              <w:tab/>
            </w:r>
            <w:r>
              <w:rPr>
                <w:noProof/>
                <w:webHidden/>
              </w:rPr>
              <w:fldChar w:fldCharType="begin"/>
            </w:r>
            <w:r>
              <w:rPr>
                <w:noProof/>
                <w:webHidden/>
              </w:rPr>
              <w:instrText xml:space="preserve"> PAGEREF _Toc139283451 \h </w:instrText>
            </w:r>
            <w:r>
              <w:rPr>
                <w:noProof/>
                <w:webHidden/>
              </w:rPr>
            </w:r>
            <w:r>
              <w:rPr>
                <w:noProof/>
                <w:webHidden/>
              </w:rPr>
              <w:fldChar w:fldCharType="separate"/>
            </w:r>
            <w:r>
              <w:rPr>
                <w:noProof/>
                <w:webHidden/>
              </w:rPr>
              <w:t>2</w:t>
            </w:r>
            <w:r>
              <w:rPr>
                <w:noProof/>
                <w:webHidden/>
              </w:rPr>
              <w:fldChar w:fldCharType="end"/>
            </w:r>
          </w:hyperlink>
        </w:p>
        <w:p w14:paraId="1D32F47D" w14:textId="50B3A803" w:rsidR="00635D9D" w:rsidRDefault="00635D9D">
          <w:pPr>
            <w:pStyle w:val="TOC3"/>
            <w:tabs>
              <w:tab w:val="right" w:leader="dot" w:pos="9350"/>
            </w:tabs>
            <w:rPr>
              <w:rFonts w:eastAsiaTheme="minorEastAsia"/>
              <w:noProof/>
              <w:kern w:val="2"/>
              <w14:ligatures w14:val="standardContextual"/>
            </w:rPr>
          </w:pPr>
          <w:hyperlink w:anchor="_Toc139283452" w:history="1">
            <w:r w:rsidRPr="00400AA0">
              <w:rPr>
                <w:rStyle w:val="Hyperlink"/>
                <w:noProof/>
              </w:rPr>
              <w:t>Defining Terminal Degrees</w:t>
            </w:r>
            <w:r>
              <w:rPr>
                <w:noProof/>
                <w:webHidden/>
              </w:rPr>
              <w:tab/>
            </w:r>
            <w:r>
              <w:rPr>
                <w:noProof/>
                <w:webHidden/>
              </w:rPr>
              <w:fldChar w:fldCharType="begin"/>
            </w:r>
            <w:r>
              <w:rPr>
                <w:noProof/>
                <w:webHidden/>
              </w:rPr>
              <w:instrText xml:space="preserve"> PAGEREF _Toc139283452 \h </w:instrText>
            </w:r>
            <w:r>
              <w:rPr>
                <w:noProof/>
                <w:webHidden/>
              </w:rPr>
            </w:r>
            <w:r>
              <w:rPr>
                <w:noProof/>
                <w:webHidden/>
              </w:rPr>
              <w:fldChar w:fldCharType="separate"/>
            </w:r>
            <w:r>
              <w:rPr>
                <w:noProof/>
                <w:webHidden/>
              </w:rPr>
              <w:t>2</w:t>
            </w:r>
            <w:r>
              <w:rPr>
                <w:noProof/>
                <w:webHidden/>
              </w:rPr>
              <w:fldChar w:fldCharType="end"/>
            </w:r>
          </w:hyperlink>
        </w:p>
        <w:p w14:paraId="46DA210C" w14:textId="3B8E55C7" w:rsidR="00635D9D" w:rsidRDefault="00635D9D">
          <w:pPr>
            <w:pStyle w:val="TOC3"/>
            <w:tabs>
              <w:tab w:val="right" w:leader="dot" w:pos="9350"/>
            </w:tabs>
            <w:rPr>
              <w:rFonts w:eastAsiaTheme="minorEastAsia"/>
              <w:noProof/>
              <w:kern w:val="2"/>
              <w14:ligatures w14:val="standardContextual"/>
            </w:rPr>
          </w:pPr>
          <w:hyperlink w:anchor="_Toc139283453" w:history="1">
            <w:r w:rsidRPr="00400AA0">
              <w:rPr>
                <w:rStyle w:val="Hyperlink"/>
                <w:noProof/>
              </w:rPr>
              <w:t>Changing from Non-Terminal Degree Track to Terminal Degree Track</w:t>
            </w:r>
            <w:r>
              <w:rPr>
                <w:noProof/>
                <w:webHidden/>
              </w:rPr>
              <w:tab/>
            </w:r>
            <w:r>
              <w:rPr>
                <w:noProof/>
                <w:webHidden/>
              </w:rPr>
              <w:fldChar w:fldCharType="begin"/>
            </w:r>
            <w:r>
              <w:rPr>
                <w:noProof/>
                <w:webHidden/>
              </w:rPr>
              <w:instrText xml:space="preserve"> PAGEREF _Toc139283453 \h </w:instrText>
            </w:r>
            <w:r>
              <w:rPr>
                <w:noProof/>
                <w:webHidden/>
              </w:rPr>
            </w:r>
            <w:r>
              <w:rPr>
                <w:noProof/>
                <w:webHidden/>
              </w:rPr>
              <w:fldChar w:fldCharType="separate"/>
            </w:r>
            <w:r>
              <w:rPr>
                <w:noProof/>
                <w:webHidden/>
              </w:rPr>
              <w:t>3</w:t>
            </w:r>
            <w:r>
              <w:rPr>
                <w:noProof/>
                <w:webHidden/>
              </w:rPr>
              <w:fldChar w:fldCharType="end"/>
            </w:r>
          </w:hyperlink>
        </w:p>
        <w:p w14:paraId="3932A7B2" w14:textId="514C85AE" w:rsidR="00635D9D" w:rsidRDefault="00635D9D">
          <w:pPr>
            <w:pStyle w:val="TOC2"/>
            <w:rPr>
              <w:rFonts w:eastAsiaTheme="minorEastAsia"/>
              <w:noProof/>
              <w:kern w:val="2"/>
              <w14:ligatures w14:val="standardContextual"/>
            </w:rPr>
          </w:pPr>
          <w:hyperlink w:anchor="_Toc139283454" w:history="1">
            <w:r w:rsidRPr="00400AA0">
              <w:rPr>
                <w:rStyle w:val="Hyperlink"/>
                <w:b/>
                <w:bCs/>
                <w:noProof/>
              </w:rPr>
              <w:t>COMPOSITION OF NON-TENURE-LINE PROMOTION COMMITTEES</w:t>
            </w:r>
            <w:r>
              <w:rPr>
                <w:noProof/>
                <w:webHidden/>
              </w:rPr>
              <w:tab/>
            </w:r>
            <w:r>
              <w:rPr>
                <w:noProof/>
                <w:webHidden/>
              </w:rPr>
              <w:fldChar w:fldCharType="begin"/>
            </w:r>
            <w:r>
              <w:rPr>
                <w:noProof/>
                <w:webHidden/>
              </w:rPr>
              <w:instrText xml:space="preserve"> PAGEREF _Toc139283454 \h </w:instrText>
            </w:r>
            <w:r>
              <w:rPr>
                <w:noProof/>
                <w:webHidden/>
              </w:rPr>
            </w:r>
            <w:r>
              <w:rPr>
                <w:noProof/>
                <w:webHidden/>
              </w:rPr>
              <w:fldChar w:fldCharType="separate"/>
            </w:r>
            <w:r>
              <w:rPr>
                <w:noProof/>
                <w:webHidden/>
              </w:rPr>
              <w:t>3</w:t>
            </w:r>
            <w:r>
              <w:rPr>
                <w:noProof/>
                <w:webHidden/>
              </w:rPr>
              <w:fldChar w:fldCharType="end"/>
            </w:r>
          </w:hyperlink>
        </w:p>
        <w:p w14:paraId="67582570" w14:textId="6B830CBC" w:rsidR="00635D9D" w:rsidRDefault="00635D9D">
          <w:pPr>
            <w:pStyle w:val="TOC2"/>
            <w:rPr>
              <w:rFonts w:eastAsiaTheme="minorEastAsia"/>
              <w:noProof/>
              <w:kern w:val="2"/>
              <w14:ligatures w14:val="standardContextual"/>
            </w:rPr>
          </w:pPr>
          <w:hyperlink w:anchor="_Toc139283455" w:history="1">
            <w:r w:rsidRPr="00400AA0">
              <w:rPr>
                <w:rStyle w:val="Hyperlink"/>
                <w:b/>
                <w:bCs/>
                <w:noProof/>
                <w:highlight w:val="yellow"/>
              </w:rPr>
              <w:t>PROMOTION REVIEW FOR FACULTY LOCATED IN AN ADMINISTRATIVE UNIT</w:t>
            </w:r>
            <w:r>
              <w:rPr>
                <w:noProof/>
                <w:webHidden/>
              </w:rPr>
              <w:tab/>
            </w:r>
            <w:r>
              <w:rPr>
                <w:noProof/>
                <w:webHidden/>
              </w:rPr>
              <w:fldChar w:fldCharType="begin"/>
            </w:r>
            <w:r>
              <w:rPr>
                <w:noProof/>
                <w:webHidden/>
              </w:rPr>
              <w:instrText xml:space="preserve"> PAGEREF _Toc139283455 \h </w:instrText>
            </w:r>
            <w:r>
              <w:rPr>
                <w:noProof/>
                <w:webHidden/>
              </w:rPr>
            </w:r>
            <w:r>
              <w:rPr>
                <w:noProof/>
                <w:webHidden/>
              </w:rPr>
              <w:fldChar w:fldCharType="separate"/>
            </w:r>
            <w:r>
              <w:rPr>
                <w:noProof/>
                <w:webHidden/>
              </w:rPr>
              <w:t>3</w:t>
            </w:r>
            <w:r>
              <w:rPr>
                <w:noProof/>
                <w:webHidden/>
              </w:rPr>
              <w:fldChar w:fldCharType="end"/>
            </w:r>
          </w:hyperlink>
        </w:p>
        <w:p w14:paraId="3BA1285B" w14:textId="7E622437" w:rsidR="00635D9D" w:rsidRDefault="00635D9D">
          <w:pPr>
            <w:pStyle w:val="TOC2"/>
            <w:rPr>
              <w:rFonts w:eastAsiaTheme="minorEastAsia"/>
              <w:noProof/>
              <w:kern w:val="2"/>
              <w14:ligatures w14:val="standardContextual"/>
            </w:rPr>
          </w:pPr>
          <w:hyperlink w:anchor="_Toc139283456" w:history="1">
            <w:r w:rsidRPr="00400AA0">
              <w:rPr>
                <w:rStyle w:val="Hyperlink"/>
                <w:rFonts w:ascii="Calibri Light" w:eastAsia="Yu Gothic Light" w:hAnsi="Calibri Light" w:cs="Times New Roman"/>
                <w:b/>
                <w:bCs/>
                <w:noProof/>
              </w:rPr>
              <w:t>GUIDELINES FOR PROMOTION</w:t>
            </w:r>
            <w:r>
              <w:rPr>
                <w:noProof/>
                <w:webHidden/>
              </w:rPr>
              <w:tab/>
            </w:r>
            <w:r>
              <w:rPr>
                <w:noProof/>
                <w:webHidden/>
              </w:rPr>
              <w:fldChar w:fldCharType="begin"/>
            </w:r>
            <w:r>
              <w:rPr>
                <w:noProof/>
                <w:webHidden/>
              </w:rPr>
              <w:instrText xml:space="preserve"> PAGEREF _Toc139283456 \h </w:instrText>
            </w:r>
            <w:r>
              <w:rPr>
                <w:noProof/>
                <w:webHidden/>
              </w:rPr>
            </w:r>
            <w:r>
              <w:rPr>
                <w:noProof/>
                <w:webHidden/>
              </w:rPr>
              <w:fldChar w:fldCharType="separate"/>
            </w:r>
            <w:r>
              <w:rPr>
                <w:noProof/>
                <w:webHidden/>
              </w:rPr>
              <w:t>4</w:t>
            </w:r>
            <w:r>
              <w:rPr>
                <w:noProof/>
                <w:webHidden/>
              </w:rPr>
              <w:fldChar w:fldCharType="end"/>
            </w:r>
          </w:hyperlink>
        </w:p>
        <w:p w14:paraId="30960FC3" w14:textId="2BE0712C" w:rsidR="00635D9D" w:rsidRDefault="00635D9D">
          <w:pPr>
            <w:pStyle w:val="TOC2"/>
            <w:rPr>
              <w:rFonts w:eastAsiaTheme="minorEastAsia"/>
              <w:noProof/>
              <w:kern w:val="2"/>
              <w14:ligatures w14:val="standardContextual"/>
            </w:rPr>
          </w:pPr>
          <w:hyperlink w:anchor="_Toc139283457" w:history="1">
            <w:r w:rsidRPr="00400AA0">
              <w:rPr>
                <w:rStyle w:val="Hyperlink"/>
                <w:rFonts w:ascii="Calibri Light" w:eastAsia="Calibri Light" w:hAnsi="Calibri Light" w:cs="Calibri Light"/>
                <w:b/>
                <w:bCs/>
                <w:noProof/>
                <w:highlight w:val="yellow"/>
              </w:rPr>
              <w:t>THE PROMOTION DOSSIER</w:t>
            </w:r>
            <w:r>
              <w:rPr>
                <w:noProof/>
                <w:webHidden/>
              </w:rPr>
              <w:tab/>
            </w:r>
            <w:r>
              <w:rPr>
                <w:noProof/>
                <w:webHidden/>
              </w:rPr>
              <w:fldChar w:fldCharType="begin"/>
            </w:r>
            <w:r>
              <w:rPr>
                <w:noProof/>
                <w:webHidden/>
              </w:rPr>
              <w:instrText xml:space="preserve"> PAGEREF _Toc139283457 \h </w:instrText>
            </w:r>
            <w:r>
              <w:rPr>
                <w:noProof/>
                <w:webHidden/>
              </w:rPr>
            </w:r>
            <w:r>
              <w:rPr>
                <w:noProof/>
                <w:webHidden/>
              </w:rPr>
              <w:fldChar w:fldCharType="separate"/>
            </w:r>
            <w:r>
              <w:rPr>
                <w:noProof/>
                <w:webHidden/>
              </w:rPr>
              <w:t>4</w:t>
            </w:r>
            <w:r>
              <w:rPr>
                <w:noProof/>
                <w:webHidden/>
              </w:rPr>
              <w:fldChar w:fldCharType="end"/>
            </w:r>
          </w:hyperlink>
        </w:p>
        <w:p w14:paraId="07E78A7A" w14:textId="49CF8F29" w:rsidR="00635D9D" w:rsidRDefault="00635D9D">
          <w:pPr>
            <w:pStyle w:val="TOC3"/>
            <w:tabs>
              <w:tab w:val="right" w:leader="dot" w:pos="9350"/>
            </w:tabs>
            <w:rPr>
              <w:rFonts w:eastAsiaTheme="minorEastAsia"/>
              <w:noProof/>
              <w:kern w:val="2"/>
              <w14:ligatures w14:val="standardContextual"/>
            </w:rPr>
          </w:pPr>
          <w:hyperlink w:anchor="_Toc139283458" w:history="1">
            <w:r w:rsidRPr="00400AA0">
              <w:rPr>
                <w:rStyle w:val="Hyperlink"/>
                <w:noProof/>
                <w:highlight w:val="yellow"/>
              </w:rPr>
              <w:t>Preparation of the Dossier</w:t>
            </w:r>
            <w:r>
              <w:rPr>
                <w:noProof/>
                <w:webHidden/>
              </w:rPr>
              <w:tab/>
            </w:r>
            <w:r>
              <w:rPr>
                <w:noProof/>
                <w:webHidden/>
              </w:rPr>
              <w:fldChar w:fldCharType="begin"/>
            </w:r>
            <w:r>
              <w:rPr>
                <w:noProof/>
                <w:webHidden/>
              </w:rPr>
              <w:instrText xml:space="preserve"> PAGEREF _Toc139283458 \h </w:instrText>
            </w:r>
            <w:r>
              <w:rPr>
                <w:noProof/>
                <w:webHidden/>
              </w:rPr>
            </w:r>
            <w:r>
              <w:rPr>
                <w:noProof/>
                <w:webHidden/>
              </w:rPr>
              <w:fldChar w:fldCharType="separate"/>
            </w:r>
            <w:r>
              <w:rPr>
                <w:noProof/>
                <w:webHidden/>
              </w:rPr>
              <w:t>4</w:t>
            </w:r>
            <w:r>
              <w:rPr>
                <w:noProof/>
                <w:webHidden/>
              </w:rPr>
              <w:fldChar w:fldCharType="end"/>
            </w:r>
          </w:hyperlink>
        </w:p>
        <w:p w14:paraId="58B82D9B" w14:textId="69CFDE8D" w:rsidR="00635D9D" w:rsidRDefault="00635D9D">
          <w:pPr>
            <w:pStyle w:val="TOC3"/>
            <w:tabs>
              <w:tab w:val="right" w:leader="dot" w:pos="9350"/>
            </w:tabs>
            <w:rPr>
              <w:rFonts w:eastAsiaTheme="minorEastAsia"/>
              <w:noProof/>
              <w:kern w:val="2"/>
              <w14:ligatures w14:val="standardContextual"/>
            </w:rPr>
          </w:pPr>
          <w:hyperlink w:anchor="_Toc139283459" w:history="1">
            <w:r w:rsidRPr="00400AA0">
              <w:rPr>
                <w:rStyle w:val="Hyperlink"/>
                <w:noProof/>
                <w:highlight w:val="yellow"/>
              </w:rPr>
              <w:t>Job Description</w:t>
            </w:r>
            <w:r>
              <w:rPr>
                <w:noProof/>
                <w:webHidden/>
              </w:rPr>
              <w:tab/>
            </w:r>
            <w:r>
              <w:rPr>
                <w:noProof/>
                <w:webHidden/>
              </w:rPr>
              <w:fldChar w:fldCharType="begin"/>
            </w:r>
            <w:r>
              <w:rPr>
                <w:noProof/>
                <w:webHidden/>
              </w:rPr>
              <w:instrText xml:space="preserve"> PAGEREF _Toc139283459 \h </w:instrText>
            </w:r>
            <w:r>
              <w:rPr>
                <w:noProof/>
                <w:webHidden/>
              </w:rPr>
            </w:r>
            <w:r>
              <w:rPr>
                <w:noProof/>
                <w:webHidden/>
              </w:rPr>
              <w:fldChar w:fldCharType="separate"/>
            </w:r>
            <w:r>
              <w:rPr>
                <w:noProof/>
                <w:webHidden/>
              </w:rPr>
              <w:t>4</w:t>
            </w:r>
            <w:r>
              <w:rPr>
                <w:noProof/>
                <w:webHidden/>
              </w:rPr>
              <w:fldChar w:fldCharType="end"/>
            </w:r>
          </w:hyperlink>
        </w:p>
        <w:p w14:paraId="2CBA717F" w14:textId="38F7AACB" w:rsidR="00635D9D" w:rsidRDefault="00635D9D">
          <w:pPr>
            <w:pStyle w:val="TOC2"/>
            <w:rPr>
              <w:rFonts w:eastAsiaTheme="minorEastAsia"/>
              <w:noProof/>
              <w:kern w:val="2"/>
              <w14:ligatures w14:val="standardContextual"/>
            </w:rPr>
          </w:pPr>
          <w:hyperlink w:anchor="_Toc139283460" w:history="1">
            <w:r w:rsidRPr="00400AA0">
              <w:rPr>
                <w:rStyle w:val="Hyperlink"/>
                <w:b/>
                <w:bCs/>
                <w:noProof/>
              </w:rPr>
              <w:t>WITHDRAWING A PROMOTION DOSSIER FROM CONSIDERATION</w:t>
            </w:r>
            <w:r>
              <w:rPr>
                <w:noProof/>
                <w:webHidden/>
              </w:rPr>
              <w:tab/>
            </w:r>
            <w:r>
              <w:rPr>
                <w:noProof/>
                <w:webHidden/>
              </w:rPr>
              <w:fldChar w:fldCharType="begin"/>
            </w:r>
            <w:r>
              <w:rPr>
                <w:noProof/>
                <w:webHidden/>
              </w:rPr>
              <w:instrText xml:space="preserve"> PAGEREF _Toc139283460 \h </w:instrText>
            </w:r>
            <w:r>
              <w:rPr>
                <w:noProof/>
                <w:webHidden/>
              </w:rPr>
            </w:r>
            <w:r>
              <w:rPr>
                <w:noProof/>
                <w:webHidden/>
              </w:rPr>
              <w:fldChar w:fldCharType="separate"/>
            </w:r>
            <w:r>
              <w:rPr>
                <w:noProof/>
                <w:webHidden/>
              </w:rPr>
              <w:t>4</w:t>
            </w:r>
            <w:r>
              <w:rPr>
                <w:noProof/>
                <w:webHidden/>
              </w:rPr>
              <w:fldChar w:fldCharType="end"/>
            </w:r>
          </w:hyperlink>
        </w:p>
        <w:p w14:paraId="07A0D4FB" w14:textId="66F70451" w:rsidR="00635D9D" w:rsidRDefault="00635D9D">
          <w:pPr>
            <w:pStyle w:val="TOC2"/>
            <w:rPr>
              <w:rFonts w:eastAsiaTheme="minorEastAsia"/>
              <w:noProof/>
              <w:kern w:val="2"/>
              <w14:ligatures w14:val="standardContextual"/>
            </w:rPr>
          </w:pPr>
          <w:hyperlink w:anchor="_Toc139283461" w:history="1">
            <w:r w:rsidRPr="00400AA0">
              <w:rPr>
                <w:rStyle w:val="Hyperlink"/>
                <w:b/>
                <w:bCs/>
                <w:noProof/>
                <w:highlight w:val="yellow"/>
              </w:rPr>
              <w:t>TIMING OF PROMOTIONS FROM THE FIRST TO THE SECOND RANK</w:t>
            </w:r>
            <w:r>
              <w:rPr>
                <w:noProof/>
                <w:webHidden/>
              </w:rPr>
              <w:tab/>
            </w:r>
            <w:r>
              <w:rPr>
                <w:noProof/>
                <w:webHidden/>
              </w:rPr>
              <w:fldChar w:fldCharType="begin"/>
            </w:r>
            <w:r>
              <w:rPr>
                <w:noProof/>
                <w:webHidden/>
              </w:rPr>
              <w:instrText xml:space="preserve"> PAGEREF _Toc139283461 \h </w:instrText>
            </w:r>
            <w:r>
              <w:rPr>
                <w:noProof/>
                <w:webHidden/>
              </w:rPr>
            </w:r>
            <w:r>
              <w:rPr>
                <w:noProof/>
                <w:webHidden/>
              </w:rPr>
              <w:fldChar w:fldCharType="separate"/>
            </w:r>
            <w:r>
              <w:rPr>
                <w:noProof/>
                <w:webHidden/>
              </w:rPr>
              <w:t>5</w:t>
            </w:r>
            <w:r>
              <w:rPr>
                <w:noProof/>
                <w:webHidden/>
              </w:rPr>
              <w:fldChar w:fldCharType="end"/>
            </w:r>
          </w:hyperlink>
        </w:p>
        <w:p w14:paraId="40174B5E" w14:textId="096B3195" w:rsidR="00635D9D" w:rsidRDefault="00635D9D">
          <w:pPr>
            <w:pStyle w:val="TOC2"/>
            <w:rPr>
              <w:rFonts w:eastAsiaTheme="minorEastAsia"/>
              <w:noProof/>
              <w:kern w:val="2"/>
              <w14:ligatures w14:val="standardContextual"/>
            </w:rPr>
          </w:pPr>
          <w:hyperlink w:anchor="_Toc139283462" w:history="1">
            <w:r w:rsidRPr="00400AA0">
              <w:rPr>
                <w:rStyle w:val="Hyperlink"/>
                <w:b/>
                <w:bCs/>
                <w:noProof/>
                <w:highlight w:val="yellow"/>
              </w:rPr>
              <w:t>PROMOTION TIMELINE</w:t>
            </w:r>
            <w:r>
              <w:rPr>
                <w:noProof/>
                <w:webHidden/>
              </w:rPr>
              <w:tab/>
            </w:r>
            <w:r>
              <w:rPr>
                <w:noProof/>
                <w:webHidden/>
              </w:rPr>
              <w:fldChar w:fldCharType="begin"/>
            </w:r>
            <w:r>
              <w:rPr>
                <w:noProof/>
                <w:webHidden/>
              </w:rPr>
              <w:instrText xml:space="preserve"> PAGEREF _Toc139283462 \h </w:instrText>
            </w:r>
            <w:r>
              <w:rPr>
                <w:noProof/>
                <w:webHidden/>
              </w:rPr>
            </w:r>
            <w:r>
              <w:rPr>
                <w:noProof/>
                <w:webHidden/>
              </w:rPr>
              <w:fldChar w:fldCharType="separate"/>
            </w:r>
            <w:r>
              <w:rPr>
                <w:noProof/>
                <w:webHidden/>
              </w:rPr>
              <w:t>5</w:t>
            </w:r>
            <w:r>
              <w:rPr>
                <w:noProof/>
                <w:webHidden/>
              </w:rPr>
              <w:fldChar w:fldCharType="end"/>
            </w:r>
          </w:hyperlink>
        </w:p>
        <w:p w14:paraId="58B3391A" w14:textId="3FD9582B" w:rsidR="00635D9D" w:rsidRDefault="00635D9D">
          <w:pPr>
            <w:pStyle w:val="TOC2"/>
            <w:rPr>
              <w:rFonts w:eastAsiaTheme="minorEastAsia"/>
              <w:noProof/>
              <w:kern w:val="2"/>
              <w14:ligatures w14:val="standardContextual"/>
            </w:rPr>
          </w:pPr>
          <w:hyperlink w:anchor="_Toc139283463" w:history="1">
            <w:r w:rsidRPr="00400AA0">
              <w:rPr>
                <w:rStyle w:val="Hyperlink"/>
                <w:b/>
                <w:bCs/>
                <w:noProof/>
                <w:highlight w:val="yellow"/>
              </w:rPr>
              <w:t>COMMUNICATING CONTRACT LENGTH WITH A PROMOTION</w:t>
            </w:r>
            <w:r>
              <w:rPr>
                <w:noProof/>
                <w:webHidden/>
              </w:rPr>
              <w:tab/>
            </w:r>
            <w:r>
              <w:rPr>
                <w:noProof/>
                <w:webHidden/>
              </w:rPr>
              <w:fldChar w:fldCharType="begin"/>
            </w:r>
            <w:r>
              <w:rPr>
                <w:noProof/>
                <w:webHidden/>
              </w:rPr>
              <w:instrText xml:space="preserve"> PAGEREF _Toc139283463 \h </w:instrText>
            </w:r>
            <w:r>
              <w:rPr>
                <w:noProof/>
                <w:webHidden/>
              </w:rPr>
            </w:r>
            <w:r>
              <w:rPr>
                <w:noProof/>
                <w:webHidden/>
              </w:rPr>
              <w:fldChar w:fldCharType="separate"/>
            </w:r>
            <w:r>
              <w:rPr>
                <w:noProof/>
                <w:webHidden/>
              </w:rPr>
              <w:t>5</w:t>
            </w:r>
            <w:r>
              <w:rPr>
                <w:noProof/>
                <w:webHidden/>
              </w:rPr>
              <w:fldChar w:fldCharType="end"/>
            </w:r>
          </w:hyperlink>
        </w:p>
        <w:p w14:paraId="6EA2801F" w14:textId="6A3F5DE1" w:rsidR="00635D9D" w:rsidRDefault="00635D9D">
          <w:pPr>
            <w:pStyle w:val="TOC2"/>
            <w:rPr>
              <w:rFonts w:eastAsiaTheme="minorEastAsia"/>
              <w:noProof/>
              <w:kern w:val="2"/>
              <w14:ligatures w14:val="standardContextual"/>
            </w:rPr>
          </w:pPr>
          <w:hyperlink w:anchor="_Toc139283464" w:history="1">
            <w:r w:rsidRPr="00400AA0">
              <w:rPr>
                <w:rStyle w:val="Hyperlink"/>
                <w:b/>
                <w:bCs/>
                <w:noProof/>
              </w:rPr>
              <w:t>EARLY PROMOTION</w:t>
            </w:r>
            <w:r>
              <w:rPr>
                <w:noProof/>
                <w:webHidden/>
              </w:rPr>
              <w:tab/>
            </w:r>
            <w:r>
              <w:rPr>
                <w:noProof/>
                <w:webHidden/>
              </w:rPr>
              <w:fldChar w:fldCharType="begin"/>
            </w:r>
            <w:r>
              <w:rPr>
                <w:noProof/>
                <w:webHidden/>
              </w:rPr>
              <w:instrText xml:space="preserve"> PAGEREF _Toc139283464 \h </w:instrText>
            </w:r>
            <w:r>
              <w:rPr>
                <w:noProof/>
                <w:webHidden/>
              </w:rPr>
            </w:r>
            <w:r>
              <w:rPr>
                <w:noProof/>
                <w:webHidden/>
              </w:rPr>
              <w:fldChar w:fldCharType="separate"/>
            </w:r>
            <w:r>
              <w:rPr>
                <w:noProof/>
                <w:webHidden/>
              </w:rPr>
              <w:t>5</w:t>
            </w:r>
            <w:r>
              <w:rPr>
                <w:noProof/>
                <w:webHidden/>
              </w:rPr>
              <w:fldChar w:fldCharType="end"/>
            </w:r>
          </w:hyperlink>
        </w:p>
        <w:p w14:paraId="6B1A11C1" w14:textId="09FE42D6" w:rsidR="00635D9D" w:rsidRDefault="00635D9D">
          <w:pPr>
            <w:pStyle w:val="TOC2"/>
            <w:rPr>
              <w:rFonts w:eastAsiaTheme="minorEastAsia"/>
              <w:noProof/>
              <w:kern w:val="2"/>
              <w14:ligatures w14:val="standardContextual"/>
            </w:rPr>
          </w:pPr>
          <w:hyperlink w:anchor="_Toc139283465" w:history="1">
            <w:r w:rsidRPr="00400AA0">
              <w:rPr>
                <w:rStyle w:val="Hyperlink"/>
                <w:b/>
                <w:bCs/>
                <w:noProof/>
              </w:rPr>
              <w:t>OUT-OF-SEQUENCE PROMOTION OF NON-TENURE-LINE FACULTY MEMBERS</w:t>
            </w:r>
            <w:r>
              <w:rPr>
                <w:noProof/>
                <w:webHidden/>
              </w:rPr>
              <w:tab/>
            </w:r>
            <w:r>
              <w:rPr>
                <w:noProof/>
                <w:webHidden/>
              </w:rPr>
              <w:fldChar w:fldCharType="begin"/>
            </w:r>
            <w:r>
              <w:rPr>
                <w:noProof/>
                <w:webHidden/>
              </w:rPr>
              <w:instrText xml:space="preserve"> PAGEREF _Toc139283465 \h </w:instrText>
            </w:r>
            <w:r>
              <w:rPr>
                <w:noProof/>
                <w:webHidden/>
              </w:rPr>
            </w:r>
            <w:r>
              <w:rPr>
                <w:noProof/>
                <w:webHidden/>
              </w:rPr>
              <w:fldChar w:fldCharType="separate"/>
            </w:r>
            <w:r>
              <w:rPr>
                <w:noProof/>
                <w:webHidden/>
              </w:rPr>
              <w:t>5</w:t>
            </w:r>
            <w:r>
              <w:rPr>
                <w:noProof/>
                <w:webHidden/>
              </w:rPr>
              <w:fldChar w:fldCharType="end"/>
            </w:r>
          </w:hyperlink>
        </w:p>
        <w:p w14:paraId="622819EA" w14:textId="08BD2F70" w:rsidR="00635D9D" w:rsidRDefault="00635D9D">
          <w:pPr>
            <w:pStyle w:val="TOC3"/>
            <w:tabs>
              <w:tab w:val="right" w:leader="dot" w:pos="9350"/>
            </w:tabs>
            <w:rPr>
              <w:rFonts w:eastAsiaTheme="minorEastAsia"/>
              <w:noProof/>
              <w:kern w:val="2"/>
              <w14:ligatures w14:val="standardContextual"/>
            </w:rPr>
          </w:pPr>
          <w:hyperlink w:anchor="_Toc139283466" w:history="1">
            <w:r w:rsidRPr="00400AA0">
              <w:rPr>
                <w:rStyle w:val="Hyperlink"/>
                <w:noProof/>
              </w:rPr>
              <w:t>Requests and Applicability</w:t>
            </w:r>
            <w:r>
              <w:rPr>
                <w:noProof/>
                <w:webHidden/>
              </w:rPr>
              <w:tab/>
            </w:r>
            <w:r>
              <w:rPr>
                <w:noProof/>
                <w:webHidden/>
              </w:rPr>
              <w:fldChar w:fldCharType="begin"/>
            </w:r>
            <w:r>
              <w:rPr>
                <w:noProof/>
                <w:webHidden/>
              </w:rPr>
              <w:instrText xml:space="preserve"> PAGEREF _Toc139283466 \h </w:instrText>
            </w:r>
            <w:r>
              <w:rPr>
                <w:noProof/>
                <w:webHidden/>
              </w:rPr>
            </w:r>
            <w:r>
              <w:rPr>
                <w:noProof/>
                <w:webHidden/>
              </w:rPr>
              <w:fldChar w:fldCharType="separate"/>
            </w:r>
            <w:r>
              <w:rPr>
                <w:noProof/>
                <w:webHidden/>
              </w:rPr>
              <w:t>5</w:t>
            </w:r>
            <w:r>
              <w:rPr>
                <w:noProof/>
                <w:webHidden/>
              </w:rPr>
              <w:fldChar w:fldCharType="end"/>
            </w:r>
          </w:hyperlink>
        </w:p>
        <w:p w14:paraId="37770924" w14:textId="7816D1A7" w:rsidR="00635D9D" w:rsidRDefault="00635D9D">
          <w:pPr>
            <w:pStyle w:val="TOC3"/>
            <w:tabs>
              <w:tab w:val="right" w:leader="dot" w:pos="9350"/>
            </w:tabs>
            <w:rPr>
              <w:rFonts w:eastAsiaTheme="minorEastAsia"/>
              <w:noProof/>
              <w:kern w:val="2"/>
              <w14:ligatures w14:val="standardContextual"/>
            </w:rPr>
          </w:pPr>
          <w:hyperlink w:anchor="_Toc139283467" w:history="1">
            <w:r w:rsidRPr="00400AA0">
              <w:rPr>
                <w:rStyle w:val="Hyperlink"/>
                <w:noProof/>
              </w:rPr>
              <w:t>Procedure</w:t>
            </w:r>
            <w:r>
              <w:rPr>
                <w:noProof/>
                <w:webHidden/>
              </w:rPr>
              <w:tab/>
            </w:r>
            <w:r>
              <w:rPr>
                <w:noProof/>
                <w:webHidden/>
              </w:rPr>
              <w:fldChar w:fldCharType="begin"/>
            </w:r>
            <w:r>
              <w:rPr>
                <w:noProof/>
                <w:webHidden/>
              </w:rPr>
              <w:instrText xml:space="preserve"> PAGEREF _Toc139283467 \h </w:instrText>
            </w:r>
            <w:r>
              <w:rPr>
                <w:noProof/>
                <w:webHidden/>
              </w:rPr>
            </w:r>
            <w:r>
              <w:rPr>
                <w:noProof/>
                <w:webHidden/>
              </w:rPr>
              <w:fldChar w:fldCharType="separate"/>
            </w:r>
            <w:r>
              <w:rPr>
                <w:noProof/>
                <w:webHidden/>
              </w:rPr>
              <w:t>5</w:t>
            </w:r>
            <w:r>
              <w:rPr>
                <w:noProof/>
                <w:webHidden/>
              </w:rPr>
              <w:fldChar w:fldCharType="end"/>
            </w:r>
          </w:hyperlink>
        </w:p>
        <w:p w14:paraId="6CA66977" w14:textId="72A0ACBD" w:rsidR="00635D9D" w:rsidRDefault="00635D9D">
          <w:pPr>
            <w:pStyle w:val="TOC3"/>
            <w:tabs>
              <w:tab w:val="right" w:leader="dot" w:pos="9350"/>
            </w:tabs>
            <w:rPr>
              <w:rFonts w:eastAsiaTheme="minorEastAsia"/>
              <w:noProof/>
              <w:kern w:val="2"/>
              <w14:ligatures w14:val="standardContextual"/>
            </w:rPr>
          </w:pPr>
          <w:hyperlink w:anchor="_Toc139283468" w:history="1">
            <w:r w:rsidRPr="00400AA0">
              <w:rPr>
                <w:rStyle w:val="Hyperlink"/>
                <w:noProof/>
              </w:rPr>
              <w:t>Implementation Date for New Rank</w:t>
            </w:r>
            <w:r>
              <w:rPr>
                <w:noProof/>
                <w:webHidden/>
              </w:rPr>
              <w:tab/>
            </w:r>
            <w:r>
              <w:rPr>
                <w:noProof/>
                <w:webHidden/>
              </w:rPr>
              <w:fldChar w:fldCharType="begin"/>
            </w:r>
            <w:r>
              <w:rPr>
                <w:noProof/>
                <w:webHidden/>
              </w:rPr>
              <w:instrText xml:space="preserve"> PAGEREF _Toc139283468 \h </w:instrText>
            </w:r>
            <w:r>
              <w:rPr>
                <w:noProof/>
                <w:webHidden/>
              </w:rPr>
            </w:r>
            <w:r>
              <w:rPr>
                <w:noProof/>
                <w:webHidden/>
              </w:rPr>
              <w:fldChar w:fldCharType="separate"/>
            </w:r>
            <w:r>
              <w:rPr>
                <w:noProof/>
                <w:webHidden/>
              </w:rPr>
              <w:t>6</w:t>
            </w:r>
            <w:r>
              <w:rPr>
                <w:noProof/>
                <w:webHidden/>
              </w:rPr>
              <w:fldChar w:fldCharType="end"/>
            </w:r>
          </w:hyperlink>
        </w:p>
        <w:p w14:paraId="4728EDB2" w14:textId="6ADAD2C1" w:rsidR="00635D9D" w:rsidRDefault="00635D9D">
          <w:pPr>
            <w:pStyle w:val="TOC2"/>
            <w:rPr>
              <w:rFonts w:eastAsiaTheme="minorEastAsia"/>
              <w:noProof/>
              <w:kern w:val="2"/>
              <w14:ligatures w14:val="standardContextual"/>
            </w:rPr>
          </w:pPr>
          <w:hyperlink w:anchor="_Toc139283469" w:history="1">
            <w:r w:rsidRPr="00400AA0">
              <w:rPr>
                <w:rStyle w:val="Hyperlink"/>
                <w:b/>
                <w:bCs/>
                <w:noProof/>
              </w:rPr>
              <w:t>COVID-19 CONSIDERATIONS</w:t>
            </w:r>
            <w:r>
              <w:rPr>
                <w:noProof/>
                <w:webHidden/>
              </w:rPr>
              <w:tab/>
            </w:r>
            <w:r>
              <w:rPr>
                <w:noProof/>
                <w:webHidden/>
              </w:rPr>
              <w:fldChar w:fldCharType="begin"/>
            </w:r>
            <w:r>
              <w:rPr>
                <w:noProof/>
                <w:webHidden/>
              </w:rPr>
              <w:instrText xml:space="preserve"> PAGEREF _Toc139283469 \h </w:instrText>
            </w:r>
            <w:r>
              <w:rPr>
                <w:noProof/>
                <w:webHidden/>
              </w:rPr>
            </w:r>
            <w:r>
              <w:rPr>
                <w:noProof/>
                <w:webHidden/>
              </w:rPr>
              <w:fldChar w:fldCharType="separate"/>
            </w:r>
            <w:r>
              <w:rPr>
                <w:noProof/>
                <w:webHidden/>
              </w:rPr>
              <w:t>6</w:t>
            </w:r>
            <w:r>
              <w:rPr>
                <w:noProof/>
                <w:webHidden/>
              </w:rPr>
              <w:fldChar w:fldCharType="end"/>
            </w:r>
          </w:hyperlink>
        </w:p>
        <w:p w14:paraId="469B5F01" w14:textId="08339C0F" w:rsidR="0047443E" w:rsidRDefault="001B226F" w:rsidP="0A3403A7">
          <w:pPr>
            <w:pStyle w:val="TOC2"/>
            <w:tabs>
              <w:tab w:val="clear" w:pos="9350"/>
              <w:tab w:val="right" w:leader="dot" w:pos="9360"/>
            </w:tabs>
            <w:rPr>
              <w:rStyle w:val="Hyperlink"/>
              <w:noProof/>
              <w:kern w:val="2"/>
              <w14:ligatures w14:val="standardContextual"/>
            </w:rPr>
          </w:pPr>
          <w:r>
            <w:fldChar w:fldCharType="end"/>
          </w:r>
        </w:p>
      </w:sdtContent>
    </w:sdt>
    <w:p w14:paraId="49C9A19B" w14:textId="51989329" w:rsidR="00421572" w:rsidRDefault="00421572"/>
    <w:p w14:paraId="21C2D341" w14:textId="77777777" w:rsidR="00D46218" w:rsidRDefault="00D46218" w:rsidP="00D46218">
      <w:pPr>
        <w:rPr>
          <w:rFonts w:ascii="Arial" w:hAnsi="Arial" w:cs="Arial"/>
        </w:rPr>
      </w:pPr>
    </w:p>
    <w:p w14:paraId="541D94F5" w14:textId="77777777" w:rsidR="00D46218" w:rsidRDefault="00D46218" w:rsidP="00C23565">
      <w:pPr>
        <w:pStyle w:val="Heading2"/>
        <w:rPr>
          <w:b/>
        </w:rPr>
        <w:sectPr w:rsidR="00D46218">
          <w:headerReference w:type="default" r:id="rId11"/>
          <w:footerReference w:type="default" r:id="rId12"/>
          <w:pgSz w:w="12240" w:h="15840"/>
          <w:pgMar w:top="1440" w:right="1440" w:bottom="1440" w:left="1440" w:header="720" w:footer="720" w:gutter="0"/>
          <w:cols w:space="720"/>
          <w:docGrid w:linePitch="360"/>
        </w:sectPr>
      </w:pPr>
    </w:p>
    <w:p w14:paraId="19708C2F" w14:textId="4159C51D" w:rsidR="61EC7639" w:rsidRDefault="61EC7639" w:rsidP="00F226F4">
      <w:pPr>
        <w:pStyle w:val="Heading2"/>
        <w:spacing w:before="0" w:line="240" w:lineRule="auto"/>
        <w:rPr>
          <w:rFonts w:ascii="Calibri Light" w:eastAsia="Yu Gothic Light" w:hAnsi="Calibri Light" w:cs="Times New Roman"/>
          <w:b/>
          <w:bCs/>
        </w:rPr>
      </w:pPr>
      <w:bookmarkStart w:id="0" w:name="_Toc139283448"/>
      <w:r w:rsidRPr="0A3403A7">
        <w:rPr>
          <w:rFonts w:ascii="Calibri Light" w:eastAsia="Yu Gothic Light" w:hAnsi="Calibri Light" w:cs="Times New Roman"/>
          <w:b/>
          <w:bCs/>
        </w:rPr>
        <w:lastRenderedPageBreak/>
        <w:t>INTRODUCTION</w:t>
      </w:r>
      <w:bookmarkEnd w:id="0"/>
    </w:p>
    <w:p w14:paraId="597940C8" w14:textId="1AB52E6C" w:rsidR="61EC7639" w:rsidRDefault="61EC7639" w:rsidP="00F226F4">
      <w:pPr>
        <w:spacing w:after="0" w:line="240" w:lineRule="auto"/>
      </w:pPr>
      <w:r w:rsidRPr="0D40B481">
        <w:t>The</w:t>
      </w:r>
      <w:r w:rsidR="005D7236">
        <w:t>se</w:t>
      </w:r>
      <w:r w:rsidRPr="0D40B481">
        <w:t xml:space="preserve"> Non-Tenure-Line Administrative Guidelines are provided to implement the University’s policy on </w:t>
      </w:r>
      <w:r w:rsidR="16E8DEAD" w:rsidRPr="0D40B481">
        <w:t>academic ranks</w:t>
      </w:r>
      <w:r w:rsidRPr="0D40B481">
        <w:t xml:space="preserve">, AC21, </w:t>
      </w:r>
      <w:r w:rsidR="49F5AEC5" w:rsidRPr="0D40B481">
        <w:t xml:space="preserve">and specifically non-tenure-line ranks and promotion. </w:t>
      </w:r>
      <w:r w:rsidRPr="0D40B481">
        <w:t>The Guidelines supplement but do not alter basic policies set forth in AC2</w:t>
      </w:r>
      <w:r w:rsidR="18ED757E" w:rsidRPr="0D40B481">
        <w:t>1</w:t>
      </w:r>
      <w:r w:rsidRPr="0D40B481">
        <w:t>. The</w:t>
      </w:r>
      <w:r w:rsidR="00F032EE">
        <w:t>se</w:t>
      </w:r>
      <w:r w:rsidRPr="0D40B481">
        <w:t xml:space="preserve"> Administrative Guidelines are revised periodically to reflect recommendations of faculty committees and administrators for improving the effectiveness and efficiency of the review process. </w:t>
      </w:r>
    </w:p>
    <w:p w14:paraId="54DCD4B5" w14:textId="77777777" w:rsidR="00F226F4" w:rsidRDefault="00F226F4" w:rsidP="00F226F4">
      <w:pPr>
        <w:spacing w:after="0" w:line="240" w:lineRule="auto"/>
      </w:pPr>
    </w:p>
    <w:p w14:paraId="08F652C6" w14:textId="77777777" w:rsidR="007152E2" w:rsidRDefault="007152E2" w:rsidP="0D40B481">
      <w:pPr>
        <w:pStyle w:val="Heading2"/>
        <w:rPr>
          <w:b/>
          <w:bCs/>
        </w:rPr>
      </w:pPr>
      <w:bookmarkStart w:id="1" w:name="_Toc139283449"/>
      <w:r w:rsidRPr="0A3403A7">
        <w:rPr>
          <w:b/>
          <w:bCs/>
        </w:rPr>
        <w:t>DEFINITIONS</w:t>
      </w:r>
      <w:bookmarkEnd w:id="1"/>
    </w:p>
    <w:p w14:paraId="348F2BEE" w14:textId="10DC1D1F" w:rsidR="00701AB2" w:rsidRDefault="00701AB2" w:rsidP="78BB79DE">
      <w:r w:rsidRPr="78BB79DE">
        <w:rPr>
          <w:b/>
          <w:bCs/>
        </w:rPr>
        <w:t>Unit executive</w:t>
      </w:r>
      <w:r>
        <w:t>: The budget executive associated with the unit, typically the dean, chancellor, or senior vice president for research.</w:t>
      </w:r>
    </w:p>
    <w:p w14:paraId="4291562F" w14:textId="2C32C230" w:rsidR="007152E2" w:rsidRDefault="004D30B0" w:rsidP="007152E2">
      <w:r w:rsidRPr="78BB79DE">
        <w:rPr>
          <w:b/>
          <w:bCs/>
        </w:rPr>
        <w:t>Academic unit head</w:t>
      </w:r>
      <w:r>
        <w:t xml:space="preserve">: </w:t>
      </w:r>
      <w:r w:rsidR="00484E8D">
        <w:t xml:space="preserve">The first line administrator associated with a unit, typically </w:t>
      </w:r>
      <w:r w:rsidR="543512AD">
        <w:t xml:space="preserve">the </w:t>
      </w:r>
      <w:r w:rsidR="00484E8D">
        <w:t xml:space="preserve">department head, director of academic affairs, division head, school director, </w:t>
      </w:r>
      <w:r w:rsidR="33878546">
        <w:t>or</w:t>
      </w:r>
      <w:r w:rsidR="00484E8D">
        <w:t xml:space="preserve"> institute director.</w:t>
      </w:r>
      <w:r w:rsidR="00701AB2">
        <w:t xml:space="preserve"> </w:t>
      </w:r>
    </w:p>
    <w:p w14:paraId="1C599610" w14:textId="6599E0CF" w:rsidR="00EC0893" w:rsidRDefault="00EC0893" w:rsidP="007152E2">
      <w:r w:rsidRPr="78BB79DE">
        <w:rPr>
          <w:b/>
          <w:bCs/>
        </w:rPr>
        <w:t>Terminal degree:</w:t>
      </w:r>
      <w:r w:rsidR="00B630E0">
        <w:t xml:space="preserve"> </w:t>
      </w:r>
      <w:r w:rsidR="4DCE7C49">
        <w:t xml:space="preserve">A degree that </w:t>
      </w:r>
      <w:proofErr w:type="gramStart"/>
      <w:r w:rsidR="4DCE7C49">
        <w:t>is considered to be</w:t>
      </w:r>
      <w:proofErr w:type="gramEnd"/>
      <w:r w:rsidR="4DCE7C49">
        <w:t xml:space="preserve"> the highest</w:t>
      </w:r>
      <w:r w:rsidR="00431434">
        <w:t xml:space="preserve">-level </w:t>
      </w:r>
      <w:r w:rsidR="4DCE7C49">
        <w:t>degree available in a particular field</w:t>
      </w:r>
      <w:r w:rsidR="00700382">
        <w:t xml:space="preserve"> or discipline</w:t>
      </w:r>
      <w:r w:rsidR="4DCE7C49">
        <w:t xml:space="preserve">. </w:t>
      </w:r>
      <w:r w:rsidR="00700382">
        <w:t xml:space="preserve">In most cases, this will be a doctoral degree, although in some cases it may be a master’s degree (such as an M.F.A.). </w:t>
      </w:r>
    </w:p>
    <w:p w14:paraId="3FF56CE1" w14:textId="4698D135" w:rsidR="00EC0893" w:rsidRPr="0047443E" w:rsidRDefault="00EC0893" w:rsidP="0047443E">
      <w:r w:rsidRPr="00431434">
        <w:rPr>
          <w:b/>
          <w:bCs/>
        </w:rPr>
        <w:t>Non-terminal degree:</w:t>
      </w:r>
      <w:r w:rsidR="00CB46EF">
        <w:t xml:space="preserve"> A degree that is not considered to be the highest</w:t>
      </w:r>
      <w:r w:rsidR="00431434">
        <w:t>-level</w:t>
      </w:r>
      <w:r w:rsidR="00CB46EF">
        <w:t xml:space="preserve"> degree available in a particular field</w:t>
      </w:r>
      <w:r w:rsidR="00700382">
        <w:t xml:space="preserve"> or discipline</w:t>
      </w:r>
      <w:r w:rsidR="00431434">
        <w:t xml:space="preserve">. </w:t>
      </w:r>
    </w:p>
    <w:p w14:paraId="6140644E" w14:textId="1195DFB0" w:rsidR="34E03677" w:rsidRDefault="34E03677" w:rsidP="0D40B481">
      <w:pPr>
        <w:pStyle w:val="Heading2"/>
        <w:rPr>
          <w:rFonts w:ascii="Calibri Light" w:eastAsia="Yu Gothic Light" w:hAnsi="Calibri Light" w:cs="Times New Roman"/>
          <w:b/>
          <w:bCs/>
        </w:rPr>
      </w:pPr>
      <w:bookmarkStart w:id="2" w:name="_Toc139283450"/>
      <w:r w:rsidRPr="0A3403A7">
        <w:rPr>
          <w:b/>
          <w:bCs/>
        </w:rPr>
        <w:t>HIRING NON-TENURE-LINE FACULTY AT THE SECOND OR THIRD RANK OR WITH CREDIT</w:t>
      </w:r>
      <w:bookmarkEnd w:id="2"/>
    </w:p>
    <w:p w14:paraId="2D7B355A" w14:textId="438EE912" w:rsidR="34E03677" w:rsidRDefault="34E03677" w:rsidP="0D40B481">
      <w:pPr>
        <w:spacing w:after="0" w:line="240" w:lineRule="auto"/>
        <w:rPr>
          <w:rFonts w:ascii="Calibri" w:eastAsia="Calibri" w:hAnsi="Calibri" w:cs="Calibri"/>
        </w:rPr>
      </w:pPr>
      <w:r>
        <w:t xml:space="preserve">Units may hire non-tenure-line faculty at the second or third ranks, or with credit toward promotion, </w:t>
      </w:r>
      <w:r w:rsidR="00296043">
        <w:t xml:space="preserve">when the hire’s </w:t>
      </w:r>
      <w:r>
        <w:t xml:space="preserve">accomplishments are in keeping with the criteria that the unit has developed for promotion to those ranks. Units should </w:t>
      </w:r>
      <w:r w:rsidR="00C34082">
        <w:t xml:space="preserve">have in place </w:t>
      </w:r>
      <w:r>
        <w:t xml:space="preserve">guidelines for how these candidates are reviewed prior to being hired. </w:t>
      </w:r>
    </w:p>
    <w:p w14:paraId="7A399AC9" w14:textId="2EF2D80C" w:rsidR="0D40B481" w:rsidRDefault="0D40B481" w:rsidP="0D40B481">
      <w:pPr>
        <w:spacing w:after="0" w:line="240" w:lineRule="auto"/>
      </w:pPr>
    </w:p>
    <w:p w14:paraId="5F0D8500" w14:textId="420B9959" w:rsidR="34E03677" w:rsidRDefault="34E03677" w:rsidP="0D40B481">
      <w:pPr>
        <w:spacing w:after="0" w:line="240" w:lineRule="auto"/>
      </w:pPr>
      <w:r>
        <w:t>For credit toward promotion, the s</w:t>
      </w:r>
      <w:r w:rsidRPr="50B7337D">
        <w:rPr>
          <w:rFonts w:ascii="Calibri" w:eastAsia="Calibri" w:hAnsi="Calibri" w:cs="Calibri"/>
        </w:rPr>
        <w:t xml:space="preserve">ame principles that apply to tenure credit </w:t>
      </w:r>
      <w:proofErr w:type="gramStart"/>
      <w:r w:rsidRPr="50B7337D">
        <w:rPr>
          <w:rFonts w:ascii="Calibri" w:eastAsia="Calibri" w:hAnsi="Calibri" w:cs="Calibri"/>
        </w:rPr>
        <w:t>apply:</w:t>
      </w:r>
      <w:proofErr w:type="gramEnd"/>
      <w:r w:rsidRPr="50B7337D">
        <w:rPr>
          <w:rFonts w:ascii="Calibri" w:eastAsia="Calibri" w:hAnsi="Calibri" w:cs="Calibri"/>
        </w:rPr>
        <w:t xml:space="preserve"> units should determine the criteria that will guide the awarding of credit. </w:t>
      </w:r>
      <w:r>
        <w:t xml:space="preserve">No more than three years of credit should be awarded to those hired at the first rank. </w:t>
      </w:r>
      <w:r w:rsidR="00933479">
        <w:t xml:space="preserve">Approval for additional years of credit may be granted by the Office of the Vice Provost for Faculty Affairs, who may consult with the provost as appropriate. </w:t>
      </w:r>
    </w:p>
    <w:p w14:paraId="14C2CF91" w14:textId="77777777" w:rsidR="00EC0893" w:rsidRDefault="00EC0893" w:rsidP="0D40B481">
      <w:pPr>
        <w:spacing w:after="0" w:line="240" w:lineRule="auto"/>
      </w:pPr>
    </w:p>
    <w:p w14:paraId="17134D74" w14:textId="63656F93" w:rsidR="30215992" w:rsidRDefault="30215992" w:rsidP="609B36C2">
      <w:pPr>
        <w:pStyle w:val="Heading2"/>
        <w:rPr>
          <w:b/>
          <w:bCs/>
        </w:rPr>
      </w:pPr>
      <w:bookmarkStart w:id="3" w:name="_Toc139283451"/>
      <w:r w:rsidRPr="0A3403A7">
        <w:rPr>
          <w:b/>
          <w:bCs/>
        </w:rPr>
        <w:t>TRACKS FOR TERMINAL AND NON-TERMINAL DEGREES</w:t>
      </w:r>
      <w:bookmarkEnd w:id="3"/>
    </w:p>
    <w:p w14:paraId="656EE5C7" w14:textId="77777777" w:rsidR="609B36C2" w:rsidRDefault="609B36C2" w:rsidP="609B36C2">
      <w:pPr>
        <w:spacing w:after="0" w:line="240" w:lineRule="auto"/>
        <w:rPr>
          <w:rFonts w:ascii="Calibri" w:eastAsia="Calibri" w:hAnsi="Calibri" w:cs="Calibri"/>
        </w:rPr>
      </w:pPr>
    </w:p>
    <w:p w14:paraId="7A54A794" w14:textId="3C6E389A" w:rsidR="30215992" w:rsidRDefault="30215992" w:rsidP="609B36C2">
      <w:pPr>
        <w:pStyle w:val="Heading3"/>
      </w:pPr>
      <w:bookmarkStart w:id="4" w:name="_Toc139283452"/>
      <w:r>
        <w:t>Defining Terminal Degrees</w:t>
      </w:r>
      <w:bookmarkEnd w:id="4"/>
    </w:p>
    <w:p w14:paraId="744E0C0F" w14:textId="0433FA21" w:rsidR="30215992" w:rsidRDefault="30215992">
      <w:r>
        <w:t xml:space="preserve">In specifying ranks and titles available to non-tenure-line faculty AC21 states that assistant, associate, and full professors should possess a terminal degree “or its equivalent.” Units should maintain a list of the degrees that are widely considered to be terminal in the academic fields that fall under the unit’s umbrella. Equivalent experience should not be considered a substitute for a terminal degree. </w:t>
      </w:r>
    </w:p>
    <w:p w14:paraId="763EFF7F" w14:textId="0E5DE7D7" w:rsidR="30215992" w:rsidRDefault="30215992">
      <w:r>
        <w:t xml:space="preserve">A note about Professors of Practice: The Professor of Practice title falls under AC21 but does not follow the standard title/track conventions for non-tenure-line positions. Professors of Practice need not have a terminal degree and because they have extraordinary experiences that qualify them for this title, their experience should not </w:t>
      </w:r>
      <w:proofErr w:type="gramStart"/>
      <w:r>
        <w:t>be considered to be</w:t>
      </w:r>
      <w:proofErr w:type="gramEnd"/>
      <w:r>
        <w:t xml:space="preserve"> “equivalent” to a terminal degree.</w:t>
      </w:r>
    </w:p>
    <w:p w14:paraId="7CE2EA57" w14:textId="7398B729" w:rsidR="30215992" w:rsidRDefault="30215992" w:rsidP="609B36C2">
      <w:pPr>
        <w:pStyle w:val="Heading3"/>
      </w:pPr>
      <w:bookmarkStart w:id="5" w:name="_Toc139283453"/>
      <w:r>
        <w:lastRenderedPageBreak/>
        <w:t>Changing from Non-Terminal Degree Track to Terminal Degree Track</w:t>
      </w:r>
      <w:bookmarkEnd w:id="5"/>
    </w:p>
    <w:p w14:paraId="56189309" w14:textId="0B5FE2DF" w:rsidR="30215992" w:rsidRDefault="30215992" w:rsidP="609B36C2">
      <w:pPr>
        <w:spacing w:after="0" w:line="240" w:lineRule="auto"/>
        <w:rPr>
          <w:rFonts w:ascii="Calibri" w:eastAsia="Calibri" w:hAnsi="Calibri" w:cs="Calibri"/>
        </w:rPr>
      </w:pPr>
      <w:r w:rsidRPr="609B36C2">
        <w:rPr>
          <w:rFonts w:ascii="Calibri" w:eastAsia="Calibri" w:hAnsi="Calibri" w:cs="Calibri"/>
        </w:rPr>
        <w:t>When a non-tenure-line faculty member attains a terminal degree, a change in “track” from the non-terminal degree track to the terminal degree track would not be considered a promotion, even if retitling occurs.</w:t>
      </w:r>
    </w:p>
    <w:p w14:paraId="393BCA07" w14:textId="6B8FC3F7" w:rsidR="609B36C2" w:rsidRDefault="609B36C2" w:rsidP="609B36C2">
      <w:pPr>
        <w:spacing w:after="0" w:line="240" w:lineRule="auto"/>
        <w:rPr>
          <w:rFonts w:ascii="Calibri" w:eastAsia="Calibri" w:hAnsi="Calibri" w:cs="Calibri"/>
        </w:rPr>
      </w:pPr>
    </w:p>
    <w:tbl>
      <w:tblPr>
        <w:tblStyle w:val="TableGrid"/>
        <w:tblW w:w="0" w:type="auto"/>
        <w:tblLayout w:type="fixed"/>
        <w:tblLook w:val="04A0" w:firstRow="1" w:lastRow="0" w:firstColumn="1" w:lastColumn="0" w:noHBand="0" w:noVBand="1"/>
      </w:tblPr>
      <w:tblGrid>
        <w:gridCol w:w="1860"/>
        <w:gridCol w:w="1860"/>
        <w:gridCol w:w="1860"/>
        <w:gridCol w:w="1860"/>
        <w:gridCol w:w="1860"/>
      </w:tblGrid>
      <w:tr w:rsidR="609B36C2" w14:paraId="37605033" w14:textId="77777777" w:rsidTr="609B36C2">
        <w:tc>
          <w:tcPr>
            <w:tcW w:w="1860" w:type="dxa"/>
            <w:shd w:val="clear" w:color="auto" w:fill="BFBFBF" w:themeFill="background1" w:themeFillShade="BF"/>
          </w:tcPr>
          <w:p w14:paraId="60E37D9D" w14:textId="74596043" w:rsidR="609B36C2" w:rsidRDefault="609B36C2" w:rsidP="609B36C2">
            <w:pPr>
              <w:spacing w:after="120"/>
              <w:rPr>
                <w:rFonts w:ascii="Times New Roman" w:eastAsia="Times New Roman" w:hAnsi="Times New Roman" w:cs="Times New Roman"/>
                <w:color w:val="000000" w:themeColor="text1"/>
                <w:sz w:val="24"/>
                <w:szCs w:val="24"/>
              </w:rPr>
            </w:pPr>
            <w:r w:rsidRPr="609B36C2">
              <w:rPr>
                <w:rStyle w:val="eop"/>
                <w:rFonts w:ascii="Times New Roman" w:eastAsia="Times New Roman" w:hAnsi="Times New Roman" w:cs="Times New Roman"/>
                <w:color w:val="000000" w:themeColor="text1"/>
                <w:sz w:val="24"/>
                <w:szCs w:val="24"/>
              </w:rPr>
              <w:t>Non-Terminal Degree</w:t>
            </w:r>
          </w:p>
        </w:tc>
        <w:tc>
          <w:tcPr>
            <w:tcW w:w="1860" w:type="dxa"/>
          </w:tcPr>
          <w:p w14:paraId="2E4AFDD0" w14:textId="5C365D2D" w:rsidR="609B36C2" w:rsidRDefault="609B36C2" w:rsidP="609B36C2">
            <w:pPr>
              <w:spacing w:after="120"/>
              <w:rPr>
                <w:rFonts w:ascii="Times New Roman" w:eastAsia="Times New Roman" w:hAnsi="Times New Roman" w:cs="Times New Roman"/>
                <w:color w:val="000000" w:themeColor="text1"/>
                <w:sz w:val="24"/>
                <w:szCs w:val="24"/>
              </w:rPr>
            </w:pPr>
            <w:r w:rsidRPr="609B36C2">
              <w:rPr>
                <w:rStyle w:val="eop"/>
                <w:rFonts w:ascii="Times New Roman" w:eastAsia="Times New Roman" w:hAnsi="Times New Roman" w:cs="Times New Roman"/>
                <w:color w:val="000000" w:themeColor="text1"/>
                <w:sz w:val="24"/>
                <w:szCs w:val="24"/>
              </w:rPr>
              <w:t>Rank 1:</w:t>
            </w:r>
            <w:r>
              <w:br/>
            </w:r>
            <w:r w:rsidRPr="609B36C2">
              <w:rPr>
                <w:rStyle w:val="eop"/>
                <w:rFonts w:ascii="Times New Roman" w:eastAsia="Times New Roman" w:hAnsi="Times New Roman" w:cs="Times New Roman"/>
                <w:color w:val="000000" w:themeColor="text1"/>
                <w:sz w:val="24"/>
                <w:szCs w:val="24"/>
              </w:rPr>
              <w:t>Instructor/</w:t>
            </w:r>
            <w:r>
              <w:br/>
            </w:r>
            <w:r w:rsidRPr="609B36C2">
              <w:rPr>
                <w:rStyle w:val="eop"/>
                <w:rFonts w:ascii="Times New Roman" w:eastAsia="Times New Roman" w:hAnsi="Times New Roman" w:cs="Times New Roman"/>
                <w:color w:val="000000" w:themeColor="text1"/>
                <w:sz w:val="24"/>
                <w:szCs w:val="24"/>
              </w:rPr>
              <w:t>Lecturer</w:t>
            </w:r>
          </w:p>
        </w:tc>
        <w:tc>
          <w:tcPr>
            <w:tcW w:w="1860" w:type="dxa"/>
          </w:tcPr>
          <w:p w14:paraId="0F19BC5A" w14:textId="3ED03D5F" w:rsidR="609B36C2" w:rsidRDefault="609B36C2" w:rsidP="609B36C2">
            <w:pPr>
              <w:spacing w:after="120"/>
              <w:rPr>
                <w:rFonts w:ascii="Times New Roman" w:eastAsia="Times New Roman" w:hAnsi="Times New Roman" w:cs="Times New Roman"/>
                <w:color w:val="000000" w:themeColor="text1"/>
                <w:sz w:val="24"/>
                <w:szCs w:val="24"/>
              </w:rPr>
            </w:pPr>
            <w:r w:rsidRPr="609B36C2">
              <w:rPr>
                <w:rStyle w:val="eop"/>
                <w:rFonts w:ascii="Times New Roman" w:eastAsia="Times New Roman" w:hAnsi="Times New Roman" w:cs="Times New Roman"/>
                <w:color w:val="000000" w:themeColor="text1"/>
                <w:sz w:val="24"/>
                <w:szCs w:val="24"/>
              </w:rPr>
              <w:t>Rank 2: Assistant Professor</w:t>
            </w:r>
          </w:p>
        </w:tc>
        <w:tc>
          <w:tcPr>
            <w:tcW w:w="1860" w:type="dxa"/>
          </w:tcPr>
          <w:p w14:paraId="10E2CD18" w14:textId="793EDE2C" w:rsidR="609B36C2" w:rsidRDefault="609B36C2" w:rsidP="609B36C2">
            <w:pPr>
              <w:spacing w:after="120"/>
              <w:rPr>
                <w:rFonts w:ascii="Times New Roman" w:eastAsia="Times New Roman" w:hAnsi="Times New Roman" w:cs="Times New Roman"/>
                <w:color w:val="000000" w:themeColor="text1"/>
                <w:sz w:val="24"/>
                <w:szCs w:val="24"/>
              </w:rPr>
            </w:pPr>
            <w:r w:rsidRPr="609B36C2">
              <w:rPr>
                <w:rStyle w:val="eop"/>
                <w:rFonts w:ascii="Times New Roman" w:eastAsia="Times New Roman" w:hAnsi="Times New Roman" w:cs="Times New Roman"/>
                <w:color w:val="000000" w:themeColor="text1"/>
                <w:sz w:val="24"/>
                <w:szCs w:val="24"/>
              </w:rPr>
              <w:t>Rank 3: Associate Professor</w:t>
            </w:r>
          </w:p>
        </w:tc>
        <w:tc>
          <w:tcPr>
            <w:tcW w:w="1860" w:type="dxa"/>
          </w:tcPr>
          <w:p w14:paraId="0D32B132" w14:textId="2FB6AEE0" w:rsidR="609B36C2" w:rsidRDefault="609B36C2" w:rsidP="609B36C2">
            <w:pPr>
              <w:spacing w:after="120"/>
              <w:rPr>
                <w:rFonts w:ascii="Times New Roman" w:eastAsia="Times New Roman" w:hAnsi="Times New Roman" w:cs="Times New Roman"/>
                <w:color w:val="000000" w:themeColor="text1"/>
                <w:sz w:val="24"/>
                <w:szCs w:val="24"/>
              </w:rPr>
            </w:pPr>
          </w:p>
        </w:tc>
      </w:tr>
      <w:tr w:rsidR="609B36C2" w14:paraId="14C1A350" w14:textId="77777777" w:rsidTr="609B36C2">
        <w:tc>
          <w:tcPr>
            <w:tcW w:w="1860" w:type="dxa"/>
            <w:shd w:val="clear" w:color="auto" w:fill="BFBFBF" w:themeFill="background1" w:themeFillShade="BF"/>
          </w:tcPr>
          <w:p w14:paraId="53210212" w14:textId="32D23E47" w:rsidR="609B36C2" w:rsidRDefault="609B36C2" w:rsidP="609B36C2">
            <w:pPr>
              <w:spacing w:after="120"/>
              <w:rPr>
                <w:rFonts w:ascii="Times New Roman" w:eastAsia="Times New Roman" w:hAnsi="Times New Roman" w:cs="Times New Roman"/>
                <w:color w:val="000000" w:themeColor="text1"/>
                <w:sz w:val="24"/>
                <w:szCs w:val="24"/>
              </w:rPr>
            </w:pPr>
            <w:r w:rsidRPr="609B36C2">
              <w:rPr>
                <w:rStyle w:val="eop"/>
                <w:rFonts w:ascii="Times New Roman" w:eastAsia="Times New Roman" w:hAnsi="Times New Roman" w:cs="Times New Roman"/>
                <w:color w:val="000000" w:themeColor="text1"/>
                <w:sz w:val="24"/>
                <w:szCs w:val="24"/>
              </w:rPr>
              <w:t>Terminal Degree</w:t>
            </w:r>
          </w:p>
        </w:tc>
        <w:tc>
          <w:tcPr>
            <w:tcW w:w="1860" w:type="dxa"/>
          </w:tcPr>
          <w:p w14:paraId="05E3B940" w14:textId="3413E7D1" w:rsidR="609B36C2" w:rsidRDefault="609B36C2" w:rsidP="609B36C2">
            <w:pPr>
              <w:spacing w:after="120"/>
              <w:rPr>
                <w:rFonts w:ascii="Times New Roman" w:eastAsia="Times New Roman" w:hAnsi="Times New Roman" w:cs="Times New Roman"/>
                <w:color w:val="000000" w:themeColor="text1"/>
                <w:sz w:val="24"/>
                <w:szCs w:val="24"/>
              </w:rPr>
            </w:pPr>
          </w:p>
        </w:tc>
        <w:tc>
          <w:tcPr>
            <w:tcW w:w="1860" w:type="dxa"/>
          </w:tcPr>
          <w:p w14:paraId="7ADA9694" w14:textId="041C32BB" w:rsidR="609B36C2" w:rsidRDefault="609B36C2" w:rsidP="609B36C2">
            <w:pPr>
              <w:spacing w:after="120"/>
              <w:rPr>
                <w:rFonts w:ascii="Times New Roman" w:eastAsia="Times New Roman" w:hAnsi="Times New Roman" w:cs="Times New Roman"/>
                <w:color w:val="000000" w:themeColor="text1"/>
                <w:sz w:val="24"/>
                <w:szCs w:val="24"/>
              </w:rPr>
            </w:pPr>
            <w:r w:rsidRPr="609B36C2">
              <w:rPr>
                <w:rStyle w:val="eop"/>
                <w:rFonts w:ascii="Times New Roman" w:eastAsia="Times New Roman" w:hAnsi="Times New Roman" w:cs="Times New Roman"/>
                <w:color w:val="000000" w:themeColor="text1"/>
                <w:sz w:val="24"/>
                <w:szCs w:val="24"/>
              </w:rPr>
              <w:t>Rank 1: Assistant Professor</w:t>
            </w:r>
          </w:p>
        </w:tc>
        <w:tc>
          <w:tcPr>
            <w:tcW w:w="1860" w:type="dxa"/>
          </w:tcPr>
          <w:p w14:paraId="0683A28C" w14:textId="20FCA415" w:rsidR="609B36C2" w:rsidRDefault="609B36C2" w:rsidP="609B36C2">
            <w:pPr>
              <w:spacing w:after="120"/>
              <w:rPr>
                <w:rFonts w:ascii="Times New Roman" w:eastAsia="Times New Roman" w:hAnsi="Times New Roman" w:cs="Times New Roman"/>
                <w:color w:val="000000" w:themeColor="text1"/>
                <w:sz w:val="24"/>
                <w:szCs w:val="24"/>
              </w:rPr>
            </w:pPr>
            <w:r w:rsidRPr="609B36C2">
              <w:rPr>
                <w:rStyle w:val="eop"/>
                <w:rFonts w:ascii="Times New Roman" w:eastAsia="Times New Roman" w:hAnsi="Times New Roman" w:cs="Times New Roman"/>
                <w:color w:val="000000" w:themeColor="text1"/>
                <w:sz w:val="24"/>
                <w:szCs w:val="24"/>
              </w:rPr>
              <w:t>Rank 2: Associate Professor</w:t>
            </w:r>
          </w:p>
        </w:tc>
        <w:tc>
          <w:tcPr>
            <w:tcW w:w="1860" w:type="dxa"/>
          </w:tcPr>
          <w:p w14:paraId="6AD13096" w14:textId="403D0EA8" w:rsidR="609B36C2" w:rsidRDefault="609B36C2" w:rsidP="609B36C2">
            <w:pPr>
              <w:spacing w:after="120"/>
              <w:rPr>
                <w:rFonts w:ascii="Times New Roman" w:eastAsia="Times New Roman" w:hAnsi="Times New Roman" w:cs="Times New Roman"/>
                <w:color w:val="000000" w:themeColor="text1"/>
                <w:sz w:val="24"/>
                <w:szCs w:val="24"/>
              </w:rPr>
            </w:pPr>
            <w:r w:rsidRPr="609B36C2">
              <w:rPr>
                <w:rStyle w:val="eop"/>
                <w:rFonts w:ascii="Times New Roman" w:eastAsia="Times New Roman" w:hAnsi="Times New Roman" w:cs="Times New Roman"/>
                <w:color w:val="000000" w:themeColor="text1"/>
                <w:sz w:val="24"/>
                <w:szCs w:val="24"/>
              </w:rPr>
              <w:t>Rank 3: Professor</w:t>
            </w:r>
          </w:p>
        </w:tc>
      </w:tr>
    </w:tbl>
    <w:p w14:paraId="02911C53" w14:textId="47016AFE" w:rsidR="00D347D7" w:rsidRDefault="00D347D7" w:rsidP="609B36C2"/>
    <w:p w14:paraId="16C186AC" w14:textId="77777777" w:rsidR="00F226F4" w:rsidRDefault="00F226F4" w:rsidP="00F226F4">
      <w:pPr>
        <w:pStyle w:val="Heading2"/>
        <w:rPr>
          <w:b/>
          <w:bCs/>
        </w:rPr>
      </w:pPr>
      <w:bookmarkStart w:id="6" w:name="_Toc139283454"/>
      <w:r w:rsidRPr="0A3403A7">
        <w:rPr>
          <w:b/>
          <w:bCs/>
        </w:rPr>
        <w:t>COMPOSITION OF NON-TENURE-LINE PROMOTION COMMITTEES</w:t>
      </w:r>
      <w:bookmarkEnd w:id="6"/>
    </w:p>
    <w:p w14:paraId="1EBF3D1F" w14:textId="1F2F825C" w:rsidR="00E038C1" w:rsidRDefault="00E038C1" w:rsidP="50B7337D">
      <w:pPr>
        <w:spacing w:after="0" w:line="240" w:lineRule="auto"/>
        <w:rPr>
          <w:rFonts w:ascii="Calibri" w:eastAsia="Calibri" w:hAnsi="Calibri" w:cs="Calibri"/>
        </w:rPr>
      </w:pPr>
    </w:p>
    <w:p w14:paraId="666F023B" w14:textId="3E940CE3" w:rsidR="005C3FDE" w:rsidRDefault="00E038C1" w:rsidP="50B7337D">
      <w:pPr>
        <w:spacing w:after="0" w:line="240" w:lineRule="auto"/>
        <w:rPr>
          <w:rFonts w:ascii="Calibri" w:eastAsia="Calibri" w:hAnsi="Calibri" w:cs="Calibri"/>
        </w:rPr>
      </w:pPr>
      <w:r w:rsidRPr="2B7C8C0F">
        <w:rPr>
          <w:rFonts w:ascii="Calibri" w:eastAsia="Calibri" w:hAnsi="Calibri" w:cs="Calibri"/>
          <w:i/>
          <w:iCs/>
        </w:rPr>
        <w:t>Department/Division/</w:t>
      </w:r>
      <w:r w:rsidR="00802008" w:rsidRPr="2B7C8C0F">
        <w:rPr>
          <w:rFonts w:ascii="Calibri" w:eastAsia="Calibri" w:hAnsi="Calibri" w:cs="Calibri"/>
          <w:i/>
          <w:iCs/>
        </w:rPr>
        <w:t xml:space="preserve">School/Campus. </w:t>
      </w:r>
      <w:r w:rsidR="00F226F4" w:rsidRPr="2B7C8C0F">
        <w:rPr>
          <w:rFonts w:ascii="Calibri" w:eastAsia="Calibri" w:hAnsi="Calibri" w:cs="Calibri"/>
        </w:rPr>
        <w:t>Although Policy AC21 references only unit-level (i.e., college) promotion committees, the</w:t>
      </w:r>
      <w:r w:rsidR="00F628C0" w:rsidRPr="2B7C8C0F">
        <w:rPr>
          <w:rFonts w:ascii="Calibri" w:eastAsia="Calibri" w:hAnsi="Calibri" w:cs="Calibri"/>
        </w:rPr>
        <w:t xml:space="preserve"> same</w:t>
      </w:r>
      <w:r w:rsidR="00F226F4" w:rsidRPr="2B7C8C0F">
        <w:rPr>
          <w:rFonts w:ascii="Calibri" w:eastAsia="Calibri" w:hAnsi="Calibri" w:cs="Calibri"/>
        </w:rPr>
        <w:t xml:space="preserve"> principles should apply to </w:t>
      </w:r>
      <w:r w:rsidR="00C55FF0" w:rsidRPr="2B7C8C0F">
        <w:rPr>
          <w:rFonts w:ascii="Calibri" w:eastAsia="Calibri" w:hAnsi="Calibri" w:cs="Calibri"/>
        </w:rPr>
        <w:t xml:space="preserve">any </w:t>
      </w:r>
      <w:r w:rsidR="00F226F4" w:rsidRPr="2B7C8C0F">
        <w:rPr>
          <w:rFonts w:ascii="Calibri" w:eastAsia="Calibri" w:hAnsi="Calibri" w:cs="Calibri"/>
        </w:rPr>
        <w:t>department/division</w:t>
      </w:r>
      <w:r w:rsidR="71F03E93" w:rsidRPr="2B7C8C0F">
        <w:rPr>
          <w:rFonts w:ascii="Calibri" w:eastAsia="Calibri" w:hAnsi="Calibri" w:cs="Calibri"/>
        </w:rPr>
        <w:t>/school/campus</w:t>
      </w:r>
      <w:r w:rsidR="00F226F4" w:rsidRPr="2B7C8C0F">
        <w:rPr>
          <w:rFonts w:ascii="Calibri" w:eastAsia="Calibri" w:hAnsi="Calibri" w:cs="Calibri"/>
        </w:rPr>
        <w:t>-level committees</w:t>
      </w:r>
      <w:r w:rsidR="00C55FF0" w:rsidRPr="2B7C8C0F">
        <w:rPr>
          <w:rFonts w:ascii="Calibri" w:eastAsia="Calibri" w:hAnsi="Calibri" w:cs="Calibri"/>
        </w:rPr>
        <w:t xml:space="preserve"> that are constituted</w:t>
      </w:r>
      <w:r w:rsidR="00F226F4" w:rsidRPr="2B7C8C0F">
        <w:rPr>
          <w:rFonts w:ascii="Calibri" w:eastAsia="Calibri" w:hAnsi="Calibri" w:cs="Calibri"/>
        </w:rPr>
        <w:t xml:space="preserve">. </w:t>
      </w:r>
    </w:p>
    <w:p w14:paraId="35AFFDF5" w14:textId="77777777" w:rsidR="008F30E8" w:rsidRDefault="008F30E8" w:rsidP="50B7337D">
      <w:pPr>
        <w:spacing w:after="0" w:line="240" w:lineRule="auto"/>
        <w:rPr>
          <w:rFonts w:ascii="Calibri" w:eastAsia="Calibri" w:hAnsi="Calibri" w:cs="Calibri"/>
          <w:i/>
          <w:iCs/>
        </w:rPr>
      </w:pPr>
    </w:p>
    <w:p w14:paraId="06D2376D" w14:textId="68DBC577" w:rsidR="00637AB8" w:rsidRPr="00F365D4" w:rsidRDefault="00637AB8" w:rsidP="50B7337D">
      <w:pPr>
        <w:spacing w:after="0" w:line="240" w:lineRule="auto"/>
        <w:rPr>
          <w:rFonts w:ascii="Calibri" w:eastAsia="Calibri" w:hAnsi="Calibri" w:cs="Calibri"/>
          <w:u w:val="single"/>
        </w:rPr>
      </w:pPr>
      <w:r w:rsidRPr="2B7C8C0F">
        <w:rPr>
          <w:rFonts w:ascii="Calibri" w:eastAsia="Calibri" w:hAnsi="Calibri" w:cs="Calibri"/>
          <w:i/>
          <w:iCs/>
        </w:rPr>
        <w:t xml:space="preserve">Number. </w:t>
      </w:r>
      <w:r w:rsidR="00E9232A">
        <w:t>Although not required, it is recommended that review committees</w:t>
      </w:r>
      <w:r>
        <w:fldChar w:fldCharType="begin"/>
      </w:r>
      <w:r>
        <w:instrText xml:space="preserve"> XE "review committees" </w:instrText>
      </w:r>
      <w:r>
        <w:fldChar w:fldCharType="end"/>
      </w:r>
      <w:r w:rsidR="00E9232A">
        <w:t xml:space="preserve"> be limited to a maximum of seven members. To avoid tie votes</w:t>
      </w:r>
      <w:r>
        <w:fldChar w:fldCharType="begin"/>
      </w:r>
      <w:r>
        <w:instrText xml:space="preserve"> XE "tie vote" </w:instrText>
      </w:r>
      <w:r>
        <w:fldChar w:fldCharType="end"/>
      </w:r>
      <w:r>
        <w:fldChar w:fldCharType="begin"/>
      </w:r>
      <w:r>
        <w:instrText xml:space="preserve"> XE "vote: tie vote" </w:instrText>
      </w:r>
      <w:r>
        <w:fldChar w:fldCharType="end"/>
      </w:r>
      <w:r>
        <w:fldChar w:fldCharType="begin"/>
      </w:r>
      <w:r>
        <w:instrText xml:space="preserve"> XE "negative: tie vote" </w:instrText>
      </w:r>
      <w:r>
        <w:fldChar w:fldCharType="end"/>
      </w:r>
      <w:r w:rsidR="00E9232A">
        <w:t>, it is also recommended that committees have an odd number of members. A tie vote</w:t>
      </w:r>
      <w:r>
        <w:fldChar w:fldCharType="begin"/>
      </w:r>
      <w:r>
        <w:instrText xml:space="preserve"> XE "vote" </w:instrText>
      </w:r>
      <w:r>
        <w:fldChar w:fldCharType="end"/>
      </w:r>
      <w:r w:rsidR="00E9232A">
        <w:t xml:space="preserve"> </w:t>
      </w:r>
      <w:proofErr w:type="gramStart"/>
      <w:r w:rsidR="00E9232A">
        <w:t>is considered to be</w:t>
      </w:r>
      <w:proofErr w:type="gramEnd"/>
      <w:r w:rsidR="00E9232A">
        <w:t xml:space="preserve"> a negative</w:t>
      </w:r>
      <w:r>
        <w:fldChar w:fldCharType="begin"/>
      </w:r>
      <w:r>
        <w:instrText xml:space="preserve"> XE "tie vote: negative" </w:instrText>
      </w:r>
      <w:r>
        <w:fldChar w:fldCharType="end"/>
      </w:r>
      <w:r>
        <w:fldChar w:fldCharType="begin"/>
      </w:r>
      <w:r>
        <w:instrText xml:space="preserve"> XE "negative" </w:instrText>
      </w:r>
      <w:r>
        <w:fldChar w:fldCharType="end"/>
      </w:r>
      <w:r w:rsidR="00E9232A">
        <w:t xml:space="preserve"> recommendation</w:t>
      </w:r>
      <w:r w:rsidR="2FB3E0BB">
        <w:t>.</w:t>
      </w:r>
    </w:p>
    <w:p w14:paraId="2DBEF993" w14:textId="77777777" w:rsidR="008F30E8" w:rsidRDefault="008F30E8" w:rsidP="50B7337D">
      <w:pPr>
        <w:spacing w:after="0" w:line="240" w:lineRule="auto"/>
        <w:rPr>
          <w:rFonts w:ascii="Calibri" w:eastAsia="Calibri" w:hAnsi="Calibri" w:cs="Calibri"/>
          <w:i/>
          <w:iCs/>
        </w:rPr>
      </w:pPr>
    </w:p>
    <w:p w14:paraId="18134C81" w14:textId="787507A5" w:rsidR="00F226F4" w:rsidRDefault="005C3FDE" w:rsidP="18A1DAA8">
      <w:pPr>
        <w:spacing w:after="0" w:line="240" w:lineRule="auto"/>
        <w:rPr>
          <w:rFonts w:ascii="Calibri" w:eastAsia="Calibri" w:hAnsi="Calibri" w:cs="Calibri"/>
        </w:rPr>
      </w:pPr>
      <w:r w:rsidRPr="2B7C8C0F">
        <w:rPr>
          <w:rFonts w:ascii="Calibri" w:eastAsia="Calibri" w:hAnsi="Calibri" w:cs="Calibri"/>
          <w:i/>
          <w:iCs/>
        </w:rPr>
        <w:t xml:space="preserve">Rank. </w:t>
      </w:r>
      <w:r w:rsidRPr="2B7C8C0F">
        <w:rPr>
          <w:rFonts w:ascii="Calibri" w:eastAsia="Calibri" w:hAnsi="Calibri" w:cs="Calibri"/>
        </w:rPr>
        <w:t>F</w:t>
      </w:r>
      <w:r w:rsidR="00F226F4" w:rsidRPr="2B7C8C0F">
        <w:rPr>
          <w:rFonts w:ascii="Calibri" w:eastAsia="Calibri" w:hAnsi="Calibri" w:cs="Calibri"/>
        </w:rPr>
        <w:t>aculty serving on department/division</w:t>
      </w:r>
      <w:r w:rsidR="5F67CEC3" w:rsidRPr="2B7C8C0F">
        <w:rPr>
          <w:rFonts w:ascii="Calibri" w:eastAsia="Calibri" w:hAnsi="Calibri" w:cs="Calibri"/>
        </w:rPr>
        <w:t>/school/campus</w:t>
      </w:r>
      <w:r w:rsidR="00F226F4" w:rsidRPr="2B7C8C0F">
        <w:rPr>
          <w:rFonts w:ascii="Calibri" w:eastAsia="Calibri" w:hAnsi="Calibri" w:cs="Calibri"/>
        </w:rPr>
        <w:t xml:space="preserve">-level committees should be of a higher rank than the faculty whom they are reviewing for promotion. Specifically, AC21 states, </w:t>
      </w:r>
      <w:r w:rsidR="00F226F4" w:rsidRPr="2B7C8C0F">
        <w:rPr>
          <w:rFonts w:eastAsiaTheme="minorEastAsia"/>
        </w:rPr>
        <w:t xml:space="preserve">“Only faculty of higher rank than the candidate should make recommendations about promotions. This implies, where unit-level guidelines permit, </w:t>
      </w:r>
      <w:r w:rsidR="005C353E" w:rsidRPr="2B7C8C0F">
        <w:rPr>
          <w:rFonts w:eastAsiaTheme="minorEastAsia"/>
        </w:rPr>
        <w:t xml:space="preserve">that </w:t>
      </w:r>
      <w:r w:rsidR="00F226F4" w:rsidRPr="2B7C8C0F">
        <w:rPr>
          <w:rFonts w:eastAsiaTheme="minorEastAsia"/>
        </w:rPr>
        <w:t>faculty who do not have a terminal degree but who have been promoted to Associate (Teaching, Research or Clinical) Professor (i.e., the highest rank available to them) may serve on committees to consider promotion to (Teaching, Research or Clinical) Professor for candidates who do have a terminal degree.</w:t>
      </w:r>
      <w:r w:rsidR="02DCBEC5" w:rsidRPr="2B7C8C0F">
        <w:rPr>
          <w:rFonts w:eastAsiaTheme="minorEastAsia"/>
        </w:rPr>
        <w:t>”</w:t>
      </w:r>
      <w:r w:rsidR="00AD3166" w:rsidRPr="2B7C8C0F">
        <w:rPr>
          <w:rFonts w:eastAsiaTheme="minorEastAsia"/>
        </w:rPr>
        <w:t xml:space="preserve"> </w:t>
      </w:r>
    </w:p>
    <w:p w14:paraId="6940A24C" w14:textId="3331307D" w:rsidR="00F226F4" w:rsidRDefault="00F226F4" w:rsidP="18A1DAA8">
      <w:pPr>
        <w:spacing w:after="0" w:line="240" w:lineRule="auto"/>
        <w:rPr>
          <w:rFonts w:eastAsiaTheme="minorEastAsia"/>
          <w:i/>
          <w:iCs/>
        </w:rPr>
      </w:pPr>
    </w:p>
    <w:p w14:paraId="68FB97C4" w14:textId="1D6EF611" w:rsidR="00F226F4" w:rsidRDefault="005C3FDE" w:rsidP="00F226F4">
      <w:pPr>
        <w:spacing w:after="0" w:line="240" w:lineRule="auto"/>
        <w:rPr>
          <w:rFonts w:ascii="Calibri" w:eastAsia="Calibri" w:hAnsi="Calibri" w:cs="Calibri"/>
        </w:rPr>
      </w:pPr>
      <w:r w:rsidRPr="18A1DAA8">
        <w:rPr>
          <w:rFonts w:eastAsiaTheme="minorEastAsia"/>
          <w:i/>
          <w:iCs/>
        </w:rPr>
        <w:t xml:space="preserve">Professors of Practice. </w:t>
      </w:r>
      <w:r w:rsidR="19E90F6F" w:rsidRPr="18A1DAA8">
        <w:rPr>
          <w:rFonts w:eastAsiaTheme="minorEastAsia"/>
        </w:rPr>
        <w:t>Units should determine whether professors of practice may serve</w:t>
      </w:r>
      <w:r w:rsidR="00E2067C" w:rsidRPr="18A1DAA8">
        <w:rPr>
          <w:rFonts w:eastAsiaTheme="minorEastAsia"/>
        </w:rPr>
        <w:t xml:space="preserve"> on </w:t>
      </w:r>
      <w:r w:rsidR="00F036EE" w:rsidRPr="18A1DAA8">
        <w:rPr>
          <w:rFonts w:eastAsiaTheme="minorEastAsia"/>
        </w:rPr>
        <w:t xml:space="preserve">a non-tenure-line promotion committee. </w:t>
      </w:r>
    </w:p>
    <w:p w14:paraId="4EC1361E" w14:textId="3C043637" w:rsidR="00E038C1" w:rsidRDefault="00E038C1" w:rsidP="00F226F4">
      <w:pPr>
        <w:spacing w:after="0" w:line="240" w:lineRule="auto"/>
        <w:rPr>
          <w:rFonts w:ascii="Calibri" w:eastAsia="Calibri" w:hAnsi="Calibri" w:cs="Calibri"/>
        </w:rPr>
      </w:pPr>
    </w:p>
    <w:p w14:paraId="27A443C7" w14:textId="5CF01748" w:rsidR="00B10B8A" w:rsidRDefault="00E038C1" w:rsidP="00B10B8A">
      <w:pPr>
        <w:spacing w:after="0" w:line="240" w:lineRule="auto"/>
        <w:rPr>
          <w:rFonts w:ascii="Calibri" w:eastAsia="Calibri" w:hAnsi="Calibri" w:cs="Calibri"/>
        </w:rPr>
      </w:pPr>
      <w:r w:rsidRPr="6E7E7466">
        <w:rPr>
          <w:rFonts w:ascii="Calibri" w:eastAsia="Calibri" w:hAnsi="Calibri" w:cs="Calibri"/>
          <w:i/>
          <w:iCs/>
        </w:rPr>
        <w:t>Exceptions.</w:t>
      </w:r>
      <w:r w:rsidR="00B10B8A" w:rsidRPr="6E7E7466">
        <w:rPr>
          <w:rFonts w:ascii="Calibri" w:eastAsia="Calibri" w:hAnsi="Calibri" w:cs="Calibri"/>
          <w:i/>
          <w:iCs/>
        </w:rPr>
        <w:t xml:space="preserve"> </w:t>
      </w:r>
      <w:r w:rsidR="00B10B8A" w:rsidRPr="6E7E7466">
        <w:rPr>
          <w:rFonts w:ascii="Calibri" w:eastAsia="Calibri" w:hAnsi="Calibri" w:cs="Calibri"/>
        </w:rPr>
        <w:t>Requests for exceptions to the composition of unit-level committees must be made to the Office of the Vice Provost for Faculty Affairs. Exceptions will be made on an annual basis only and may not be part of a unit’s non-tenure-line guidelines.</w:t>
      </w:r>
      <w:r w:rsidR="00B10B8A" w:rsidRPr="6E7E7466">
        <w:rPr>
          <w:rFonts w:ascii="Calibri" w:eastAsia="Calibri" w:hAnsi="Calibri" w:cs="Calibri"/>
          <w:i/>
          <w:iCs/>
        </w:rPr>
        <w:t xml:space="preserve"> </w:t>
      </w:r>
      <w:r w:rsidR="18273B0D" w:rsidRPr="6E7E7466">
        <w:rPr>
          <w:rFonts w:ascii="Calibri" w:eastAsia="Calibri" w:hAnsi="Calibri" w:cs="Calibri"/>
          <w:highlight w:val="yellow"/>
        </w:rPr>
        <w:t>Before requesting the exception,</w:t>
      </w:r>
      <w:r w:rsidR="18273B0D" w:rsidRPr="6E7E7466">
        <w:rPr>
          <w:rFonts w:ascii="Calibri" w:eastAsia="Calibri" w:hAnsi="Calibri" w:cs="Calibri"/>
        </w:rPr>
        <w:t xml:space="preserve"> t</w:t>
      </w:r>
      <w:r w:rsidR="00B10B8A" w:rsidRPr="6E7E7466">
        <w:rPr>
          <w:rFonts w:ascii="Calibri" w:eastAsia="Calibri" w:hAnsi="Calibri" w:cs="Calibri"/>
        </w:rPr>
        <w:t>he unit executive should consult with the non-tenure-line faculty in the unit to determine how they would like to handle a situation where there are not enough non-tenure-line faculty in a unit to serve on the committee. Options might include asking tenure-line or tenured faculty to serve on the committee or asking non-tenure-line faculty from another unit to serve on the committee.</w:t>
      </w:r>
    </w:p>
    <w:p w14:paraId="5E28BED4" w14:textId="77777777" w:rsidR="00F0422D" w:rsidRDefault="00F0422D" w:rsidP="00B10B8A">
      <w:pPr>
        <w:spacing w:after="0" w:line="240" w:lineRule="auto"/>
        <w:rPr>
          <w:rFonts w:ascii="Calibri" w:eastAsia="Calibri" w:hAnsi="Calibri" w:cs="Calibri"/>
        </w:rPr>
      </w:pPr>
    </w:p>
    <w:p w14:paraId="5ED7EEB2" w14:textId="284FF611" w:rsidR="00F0422D" w:rsidRPr="00E25C35" w:rsidRDefault="00F0422D" w:rsidP="00F0422D">
      <w:pPr>
        <w:pStyle w:val="Heading2"/>
        <w:rPr>
          <w:b/>
          <w:bCs/>
          <w:highlight w:val="yellow"/>
        </w:rPr>
      </w:pPr>
      <w:bookmarkStart w:id="7" w:name="_Toc139283455"/>
      <w:r w:rsidRPr="0A3403A7">
        <w:rPr>
          <w:b/>
          <w:bCs/>
          <w:highlight w:val="yellow"/>
        </w:rPr>
        <w:t>PROMOTION REVIEW FOR FACULTY LOCATED IN AN ADMINISTRATIVE UNIT</w:t>
      </w:r>
      <w:bookmarkEnd w:id="7"/>
    </w:p>
    <w:p w14:paraId="4176CD89" w14:textId="47F43C73" w:rsidR="00251FA7" w:rsidRDefault="00DE3915" w:rsidP="73BCEF27">
      <w:pPr>
        <w:spacing w:after="0" w:line="240" w:lineRule="auto"/>
      </w:pPr>
      <w:r w:rsidRPr="73BCEF27">
        <w:rPr>
          <w:highlight w:val="yellow"/>
        </w:rPr>
        <w:t>If a faculty member</w:t>
      </w:r>
      <w:r w:rsidR="008C21B1" w:rsidRPr="73BCEF27">
        <w:rPr>
          <w:highlight w:val="yellow"/>
        </w:rPr>
        <w:t>’s appointment is</w:t>
      </w:r>
      <w:r w:rsidRPr="73BCEF27">
        <w:rPr>
          <w:highlight w:val="yellow"/>
        </w:rPr>
        <w:t xml:space="preserve"> in an administrative unit such as a dean’s office,</w:t>
      </w:r>
      <w:r w:rsidR="008C21B1" w:rsidRPr="73BCEF27">
        <w:rPr>
          <w:highlight w:val="yellow"/>
        </w:rPr>
        <w:t xml:space="preserve"> rather than in an academic unit,</w:t>
      </w:r>
      <w:r w:rsidRPr="73BCEF27">
        <w:rPr>
          <w:highlight w:val="yellow"/>
        </w:rPr>
        <w:t xml:space="preserve"> then their supervisor should participate in their promotion review</w:t>
      </w:r>
      <w:r w:rsidR="00251FA7" w:rsidRPr="73BCEF27">
        <w:rPr>
          <w:highlight w:val="yellow"/>
        </w:rPr>
        <w:t xml:space="preserve"> in the role of the academic unit head</w:t>
      </w:r>
      <w:r w:rsidR="00DD7208" w:rsidRPr="73BCEF27">
        <w:rPr>
          <w:highlight w:val="yellow"/>
        </w:rPr>
        <w:t xml:space="preserve"> as specified in the unit’s guidelines</w:t>
      </w:r>
      <w:r w:rsidR="00251FA7" w:rsidRPr="73BCEF27">
        <w:rPr>
          <w:highlight w:val="yellow"/>
        </w:rPr>
        <w:t>.</w:t>
      </w:r>
      <w:r w:rsidR="00251FA7" w:rsidRPr="73BCEF27">
        <w:t xml:space="preserve"> </w:t>
      </w:r>
    </w:p>
    <w:p w14:paraId="4ECB1B06" w14:textId="6912C350" w:rsidR="00F226F4" w:rsidRPr="00E87946" w:rsidRDefault="00F226F4" w:rsidP="18A1DAA8">
      <w:pPr>
        <w:spacing w:after="0" w:line="240" w:lineRule="auto"/>
        <w:rPr>
          <w:rFonts w:ascii="Calibri Light" w:eastAsia="Yu Gothic Light" w:hAnsi="Calibri Light" w:cs="Times New Roman"/>
          <w:b/>
          <w:bCs/>
          <w:color w:val="2F5496" w:themeColor="accent1" w:themeShade="BF"/>
        </w:rPr>
      </w:pPr>
    </w:p>
    <w:p w14:paraId="60D8A040" w14:textId="54BCEB8F" w:rsidR="00F226F4" w:rsidRDefault="00F226F4" w:rsidP="00F226F4">
      <w:pPr>
        <w:pStyle w:val="Heading2"/>
        <w:rPr>
          <w:rFonts w:ascii="Calibri Light" w:eastAsia="Yu Gothic Light" w:hAnsi="Calibri Light" w:cs="Times New Roman"/>
          <w:b/>
          <w:bCs/>
        </w:rPr>
      </w:pPr>
      <w:bookmarkStart w:id="8" w:name="_Toc139283456"/>
      <w:r w:rsidRPr="0A3403A7">
        <w:rPr>
          <w:rFonts w:ascii="Calibri Light" w:eastAsia="Yu Gothic Light" w:hAnsi="Calibri Light" w:cs="Times New Roman"/>
          <w:b/>
          <w:bCs/>
        </w:rPr>
        <w:t>GUIDELINES FOR PROMOTION</w:t>
      </w:r>
      <w:bookmarkEnd w:id="8"/>
      <w:r w:rsidRPr="0A3403A7">
        <w:rPr>
          <w:rFonts w:ascii="Calibri Light" w:eastAsia="Yu Gothic Light" w:hAnsi="Calibri Light" w:cs="Times New Roman"/>
          <w:b/>
          <w:bCs/>
        </w:rPr>
        <w:t xml:space="preserve"> </w:t>
      </w:r>
    </w:p>
    <w:p w14:paraId="7188A6BE" w14:textId="2271ABA7" w:rsidR="00F226F4" w:rsidRDefault="00F226F4" w:rsidP="00F226F4">
      <w:pPr>
        <w:spacing w:after="0" w:line="240" w:lineRule="auto"/>
      </w:pPr>
      <w:r>
        <w:t>Units should develop distinct, progressive criteria for promotion from rank to rank for teaching, clinical, and research professors.</w:t>
      </w:r>
    </w:p>
    <w:p w14:paraId="4F2A17D6" w14:textId="77777777" w:rsidR="0016212E" w:rsidRDefault="0016212E" w:rsidP="00F226F4">
      <w:pPr>
        <w:spacing w:after="0" w:line="240" w:lineRule="auto"/>
      </w:pPr>
    </w:p>
    <w:p w14:paraId="442C7857" w14:textId="48DABCBB" w:rsidR="00FD7930" w:rsidRDefault="00FD7930" w:rsidP="00FD7930">
      <w:pPr>
        <w:spacing w:after="0" w:line="240" w:lineRule="auto"/>
      </w:pPr>
      <w:r>
        <w:t xml:space="preserve">Consistent with promotions for tenure-line faculty, non-tenure-line faculty may include in their dossiers </w:t>
      </w:r>
      <w:r w:rsidR="00303415">
        <w:t>research and creative accomplishments that</w:t>
      </w:r>
      <w:r>
        <w:t xml:space="preserve"> span their careers. Unit promotion guidelines may, however, specify that recent research can be weighed more heavily by the unit’s promotion committee. </w:t>
      </w:r>
      <w:r w:rsidR="00865D3C">
        <w:t xml:space="preserve">Units may permit faculty to submit all teaching documentation </w:t>
      </w:r>
      <w:r w:rsidR="00C81C7B">
        <w:t xml:space="preserve">from the date of the last promotion </w:t>
      </w:r>
      <w:proofErr w:type="gramStart"/>
      <w:r w:rsidR="00C81C7B">
        <w:t>forward</w:t>
      </w:r>
      <w:r w:rsidR="00CF6CB7">
        <w:t>, but</w:t>
      </w:r>
      <w:proofErr w:type="gramEnd"/>
      <w:r w:rsidR="00BB548C">
        <w:t xml:space="preserve"> </w:t>
      </w:r>
      <w:r w:rsidR="00AB4079">
        <w:t>given that promot</w:t>
      </w:r>
      <w:r w:rsidR="00F9339F">
        <w:t xml:space="preserve">ions from the second to the third rank do not occur on a fixed schedule, </w:t>
      </w:r>
      <w:r w:rsidR="009713DF">
        <w:t xml:space="preserve">up to 10 years of data since the last formal promotion review may be included. </w:t>
      </w:r>
    </w:p>
    <w:p w14:paraId="0E05C193" w14:textId="12800B21" w:rsidR="624A5618" w:rsidRDefault="624A5618" w:rsidP="5230C88E">
      <w:pPr>
        <w:spacing w:after="0" w:line="240" w:lineRule="auto"/>
      </w:pPr>
    </w:p>
    <w:p w14:paraId="66E948AA" w14:textId="58BEEA22" w:rsidR="624A5618" w:rsidRDefault="5AA972B8" w:rsidP="5230C88E">
      <w:pPr>
        <w:pStyle w:val="Heading2"/>
        <w:rPr>
          <w:rFonts w:ascii="Calibri Light" w:eastAsia="Calibri Light" w:hAnsi="Calibri Light" w:cs="Calibri Light"/>
          <w:b/>
          <w:bCs/>
          <w:highlight w:val="yellow"/>
        </w:rPr>
      </w:pPr>
      <w:bookmarkStart w:id="9" w:name="_Toc139283457"/>
      <w:r w:rsidRPr="0A3403A7">
        <w:rPr>
          <w:rFonts w:ascii="Calibri Light" w:eastAsia="Calibri Light" w:hAnsi="Calibri Light" w:cs="Calibri Light"/>
          <w:b/>
          <w:bCs/>
          <w:highlight w:val="yellow"/>
        </w:rPr>
        <w:t>THE PROMOTION DOSSIER</w:t>
      </w:r>
      <w:bookmarkEnd w:id="9"/>
    </w:p>
    <w:p w14:paraId="3B8E5721" w14:textId="55905DDF" w:rsidR="4753D57B" w:rsidRDefault="4753D57B" w:rsidP="006D24CF">
      <w:pPr>
        <w:pStyle w:val="Heading3"/>
        <w:spacing w:line="240" w:lineRule="auto"/>
        <w:rPr>
          <w:highlight w:val="yellow"/>
        </w:rPr>
      </w:pPr>
      <w:bookmarkStart w:id="10" w:name="_Toc139283458"/>
      <w:r w:rsidRPr="0A3403A7">
        <w:rPr>
          <w:highlight w:val="yellow"/>
        </w:rPr>
        <w:t>Preparation of the Dossier</w:t>
      </w:r>
      <w:bookmarkEnd w:id="10"/>
    </w:p>
    <w:p w14:paraId="75D4A023" w14:textId="6FDE85E0" w:rsidR="4753D57B" w:rsidRDefault="4753D57B" w:rsidP="006D24CF">
      <w:pPr>
        <w:spacing w:line="240" w:lineRule="auto"/>
        <w:rPr>
          <w:rFonts w:ascii="Calibri" w:eastAsia="Calibri" w:hAnsi="Calibri" w:cs="Calibri"/>
        </w:rPr>
      </w:pPr>
      <w:r w:rsidRPr="381FE88A">
        <w:rPr>
          <w:rFonts w:ascii="Calibri" w:eastAsia="Calibri" w:hAnsi="Calibri" w:cs="Calibri"/>
          <w:highlight w:val="yellow"/>
        </w:rPr>
        <w:t>Preparation of the dossier is a collaborative activity between the academic unit head and the faculty member, and a shared responsibility. The academic unit head will take the lead on setting a timeline for dossier completion and the faculty member will assemble whatever materials are in their possession by the timeline given by the academic unit head. If the unit is using Activity Insight to generate the dossier, it is the faculty member’s responsibility to enter this information into Activity Insight in accordance with the timeline specified. When disputes about the preparation of the dossier arise, the faculty member may choose to reach out to the unit ombudsperson for assistance.</w:t>
      </w:r>
    </w:p>
    <w:p w14:paraId="54126C1B" w14:textId="1E913100" w:rsidR="000E4F85" w:rsidRPr="000E4F85" w:rsidRDefault="000E4F85" w:rsidP="000E4F85">
      <w:pPr>
        <w:pStyle w:val="Heading3"/>
        <w:rPr>
          <w:highlight w:val="yellow"/>
        </w:rPr>
      </w:pPr>
      <w:bookmarkStart w:id="11" w:name="_Toc139283459"/>
      <w:r w:rsidRPr="0A3403A7">
        <w:rPr>
          <w:highlight w:val="yellow"/>
        </w:rPr>
        <w:t>Job Description</w:t>
      </w:r>
      <w:bookmarkEnd w:id="11"/>
    </w:p>
    <w:p w14:paraId="0FDDA25F" w14:textId="0925C3E8" w:rsidR="624A5618" w:rsidRDefault="5230C88E" w:rsidP="00E87946">
      <w:pPr>
        <w:spacing w:after="0" w:line="240" w:lineRule="auto"/>
        <w:contextualSpacing/>
        <w:rPr>
          <w:rFonts w:ascii="Calibri" w:eastAsia="Calibri" w:hAnsi="Calibri" w:cs="Calibri"/>
          <w:highlight w:val="yellow"/>
        </w:rPr>
      </w:pPr>
      <w:r w:rsidRPr="2B7C8C0F">
        <w:rPr>
          <w:rFonts w:ascii="Calibri" w:eastAsia="Calibri" w:hAnsi="Calibri" w:cs="Calibri"/>
          <w:highlight w:val="yellow"/>
        </w:rPr>
        <w:t>The academic unit head</w:t>
      </w:r>
      <w:r w:rsidR="4EDE4C37" w:rsidRPr="2B7C8C0F">
        <w:rPr>
          <w:rFonts w:ascii="Calibri" w:eastAsia="Calibri" w:hAnsi="Calibri" w:cs="Calibri"/>
          <w:highlight w:val="yellow"/>
        </w:rPr>
        <w:t xml:space="preserve">, or supervisor if the faculty member is not located in an academic </w:t>
      </w:r>
      <w:r w:rsidR="00D93468" w:rsidRPr="2B7C8C0F">
        <w:rPr>
          <w:rFonts w:ascii="Calibri" w:eastAsia="Calibri" w:hAnsi="Calibri" w:cs="Calibri"/>
          <w:highlight w:val="yellow"/>
        </w:rPr>
        <w:t>campus/</w:t>
      </w:r>
      <w:r w:rsidR="4EDE4C37" w:rsidRPr="2B7C8C0F">
        <w:rPr>
          <w:rFonts w:ascii="Calibri" w:eastAsia="Calibri" w:hAnsi="Calibri" w:cs="Calibri"/>
          <w:highlight w:val="yellow"/>
        </w:rPr>
        <w:t>department/division/school,</w:t>
      </w:r>
      <w:r w:rsidRPr="2B7C8C0F">
        <w:rPr>
          <w:rFonts w:ascii="Calibri" w:eastAsia="Calibri" w:hAnsi="Calibri" w:cs="Calibri"/>
          <w:highlight w:val="yellow"/>
        </w:rPr>
        <w:t xml:space="preserve"> must draft a position description for each faculty member and obtain input on that description from the faculty member no later than the conclusion of the academic year prior to the individual’s promotion review year</w:t>
      </w:r>
      <w:r w:rsidR="001D2B47" w:rsidRPr="2B7C8C0F">
        <w:rPr>
          <w:rFonts w:ascii="Calibri" w:eastAsia="Calibri" w:hAnsi="Calibri" w:cs="Calibri"/>
          <w:highlight w:val="yellow"/>
        </w:rPr>
        <w:t xml:space="preserve">. Best practice is to create the job description </w:t>
      </w:r>
      <w:r w:rsidR="115891AE" w:rsidRPr="2B7C8C0F">
        <w:rPr>
          <w:rFonts w:ascii="Calibri" w:eastAsia="Calibri" w:hAnsi="Calibri" w:cs="Calibri"/>
          <w:highlight w:val="yellow"/>
        </w:rPr>
        <w:t>during the onboarding process</w:t>
      </w:r>
      <w:r w:rsidRPr="2B7C8C0F">
        <w:rPr>
          <w:rFonts w:ascii="Calibri" w:eastAsia="Calibri" w:hAnsi="Calibri" w:cs="Calibri"/>
          <w:highlight w:val="yellow"/>
        </w:rPr>
        <w:t xml:space="preserve">. </w:t>
      </w:r>
      <w:r w:rsidR="240822B8" w:rsidRPr="2B7C8C0F">
        <w:rPr>
          <w:rFonts w:ascii="Calibri" w:eastAsia="Calibri" w:hAnsi="Calibri" w:cs="Calibri"/>
          <w:highlight w:val="yellow"/>
        </w:rPr>
        <w:t xml:space="preserve">Job descriptions should be revisited by the academic unit head/supervisor and the faculty member </w:t>
      </w:r>
      <w:r w:rsidR="2131E0F1" w:rsidRPr="2B7C8C0F">
        <w:rPr>
          <w:rFonts w:ascii="Calibri" w:eastAsia="Calibri" w:hAnsi="Calibri" w:cs="Calibri"/>
          <w:highlight w:val="yellow"/>
        </w:rPr>
        <w:t xml:space="preserve">as needed or </w:t>
      </w:r>
      <w:r w:rsidR="240822B8" w:rsidRPr="2B7C8C0F">
        <w:rPr>
          <w:rFonts w:ascii="Calibri" w:eastAsia="Calibri" w:hAnsi="Calibri" w:cs="Calibri"/>
          <w:highlight w:val="yellow"/>
        </w:rPr>
        <w:t xml:space="preserve">when job duties change. </w:t>
      </w:r>
      <w:r w:rsidRPr="2B7C8C0F">
        <w:rPr>
          <w:rFonts w:ascii="Calibri" w:eastAsia="Calibri" w:hAnsi="Calibri" w:cs="Calibri"/>
          <w:highlight w:val="yellow"/>
        </w:rPr>
        <w:t>The job description should outline duties and expectations, if applicable, in the areas of teaching, research, and service. The job description should be included in the candidate’s dossier.</w:t>
      </w:r>
    </w:p>
    <w:p w14:paraId="6809BF9E" w14:textId="22AC7CAD" w:rsidR="14DEC0E0" w:rsidRDefault="14DEC0E0" w:rsidP="14DEC0E0">
      <w:pPr>
        <w:spacing w:after="0" w:line="240" w:lineRule="auto"/>
        <w:contextualSpacing/>
        <w:rPr>
          <w:rFonts w:ascii="Calibri" w:eastAsia="Calibri" w:hAnsi="Calibri" w:cs="Calibri"/>
          <w:highlight w:val="yellow"/>
        </w:rPr>
      </w:pPr>
    </w:p>
    <w:p w14:paraId="5CD91FB6" w14:textId="6FA5837A" w:rsidR="1484C053" w:rsidRDefault="1484C053" w:rsidP="14DEC0E0">
      <w:pPr>
        <w:spacing w:after="0" w:line="240" w:lineRule="auto"/>
        <w:contextualSpacing/>
        <w:rPr>
          <w:rFonts w:ascii="Calibri" w:eastAsia="Calibri" w:hAnsi="Calibri" w:cs="Calibri"/>
          <w:highlight w:val="yellow"/>
        </w:rPr>
      </w:pPr>
      <w:r w:rsidRPr="2B7C8C0F">
        <w:rPr>
          <w:rFonts w:ascii="Calibri" w:eastAsia="Calibri" w:hAnsi="Calibri" w:cs="Calibri"/>
          <w:highlight w:val="yellow"/>
        </w:rPr>
        <w:t>Job descriptions are recommended, but not required, for non-tenure-line faculty going up for promotion during Academic Year 2023-24 and are required for promotions occurring in Academic Year 2024-25 and beyond.</w:t>
      </w:r>
    </w:p>
    <w:p w14:paraId="44BF5508" w14:textId="77777777" w:rsidR="000E4F85" w:rsidRDefault="000E4F85" w:rsidP="00E87946">
      <w:pPr>
        <w:spacing w:after="0" w:line="240" w:lineRule="auto"/>
        <w:contextualSpacing/>
        <w:rPr>
          <w:rFonts w:ascii="Calibri" w:eastAsia="Calibri" w:hAnsi="Calibri" w:cs="Calibri"/>
          <w:highlight w:val="yellow"/>
        </w:rPr>
      </w:pPr>
    </w:p>
    <w:p w14:paraId="38233706" w14:textId="1B8668C0" w:rsidR="34E03677" w:rsidRDefault="34E03677" w:rsidP="0D40B481">
      <w:pPr>
        <w:pStyle w:val="Heading2"/>
        <w:rPr>
          <w:b/>
          <w:bCs/>
        </w:rPr>
      </w:pPr>
      <w:bookmarkStart w:id="12" w:name="_Toc139283460"/>
      <w:r w:rsidRPr="0A3403A7">
        <w:rPr>
          <w:b/>
          <w:bCs/>
        </w:rPr>
        <w:t>WITHDRAWING A PROMOTION DOSSIER FROM CONSIDERATION</w:t>
      </w:r>
      <w:bookmarkEnd w:id="12"/>
    </w:p>
    <w:p w14:paraId="1A979A08" w14:textId="15E1BB71" w:rsidR="34E03677" w:rsidRDefault="34E03677" w:rsidP="14722C52">
      <w:pPr>
        <w:pStyle w:val="NormalWeb"/>
        <w:spacing w:before="0" w:beforeAutospacing="0" w:after="0" w:afterAutospacing="0"/>
        <w:rPr>
          <w:rFonts w:asciiTheme="minorHAnsi" w:hAnsiTheme="minorHAnsi" w:cstheme="minorBidi"/>
          <w:color w:val="000000" w:themeColor="text1"/>
        </w:rPr>
      </w:pPr>
      <w:r w:rsidRPr="14722C52">
        <w:rPr>
          <w:rFonts w:asciiTheme="minorHAnsi" w:hAnsiTheme="minorHAnsi" w:cstheme="minorBidi"/>
          <w:color w:val="000000" w:themeColor="text1"/>
        </w:rPr>
        <w:t>When a non-tenure-line faculty member is being reviewed for promotion to either the second or the third rank, once the dossier has been prepared, reviewed</w:t>
      </w:r>
      <w:r w:rsidR="002A4FBC" w:rsidRPr="14722C52">
        <w:rPr>
          <w:rFonts w:asciiTheme="minorHAnsi" w:hAnsiTheme="minorHAnsi" w:cstheme="minorBidi"/>
          <w:color w:val="000000" w:themeColor="text1"/>
        </w:rPr>
        <w:t>,</w:t>
      </w:r>
      <w:r w:rsidRPr="14722C52">
        <w:rPr>
          <w:rFonts w:asciiTheme="minorHAnsi" w:hAnsiTheme="minorHAnsi" w:cstheme="minorBidi"/>
          <w:color w:val="000000" w:themeColor="text1"/>
        </w:rPr>
        <w:t xml:space="preserve"> and signed by the candidate and submitted to the first review committee for consideration, the dossier cannot be withdrawn before action by the dean, unless the candidate so desires. If the </w:t>
      </w:r>
      <w:r w:rsidR="00E652A7" w:rsidRPr="14722C52">
        <w:rPr>
          <w:rFonts w:asciiTheme="minorHAnsi" w:hAnsiTheme="minorHAnsi" w:cstheme="minorBidi"/>
          <w:color w:val="000000" w:themeColor="text1"/>
        </w:rPr>
        <w:t>campus/</w:t>
      </w:r>
      <w:r w:rsidRPr="14722C52">
        <w:rPr>
          <w:rFonts w:asciiTheme="minorHAnsi" w:hAnsiTheme="minorHAnsi" w:cstheme="minorBidi"/>
          <w:color w:val="000000" w:themeColor="text1"/>
        </w:rPr>
        <w:t>department/division/school committee (if there is one) and the department/division head/school director</w:t>
      </w:r>
      <w:r w:rsidR="00E652A7" w:rsidRPr="14722C52">
        <w:rPr>
          <w:rFonts w:asciiTheme="minorHAnsi" w:hAnsiTheme="minorHAnsi" w:cstheme="minorBidi"/>
          <w:color w:val="000000" w:themeColor="text1"/>
        </w:rPr>
        <w:t>/director of academic affairs</w:t>
      </w:r>
      <w:r w:rsidRPr="14722C52">
        <w:rPr>
          <w:rFonts w:asciiTheme="minorHAnsi" w:hAnsiTheme="minorHAnsi" w:cstheme="minorBidi"/>
          <w:color w:val="000000" w:themeColor="text1"/>
        </w:rPr>
        <w:t xml:space="preserve"> do not support a promotion after reviewing the completed dossier, the candidate should be so informed and given the option of withdrawing their candidacy.  </w:t>
      </w:r>
    </w:p>
    <w:p w14:paraId="72F526CC" w14:textId="64C5D01C" w:rsidR="0D40B481" w:rsidRDefault="0D40B481" w:rsidP="0D40B481">
      <w:pPr>
        <w:spacing w:after="0" w:line="240" w:lineRule="auto"/>
        <w:rPr>
          <w:rFonts w:ascii="Calibri" w:eastAsia="Calibri" w:hAnsi="Calibri" w:cs="Calibri"/>
          <w:color w:val="000000" w:themeColor="text1"/>
        </w:rPr>
      </w:pPr>
    </w:p>
    <w:p w14:paraId="4D640A67" w14:textId="78539932" w:rsidR="296D6175" w:rsidRPr="00FD64EA" w:rsidRDefault="0012333A" w:rsidP="00047ED0">
      <w:pPr>
        <w:pStyle w:val="Heading2"/>
        <w:rPr>
          <w:b/>
          <w:bCs/>
          <w:highlight w:val="yellow"/>
        </w:rPr>
      </w:pPr>
      <w:bookmarkStart w:id="13" w:name="_Toc139283461"/>
      <w:r w:rsidRPr="0A3403A7">
        <w:rPr>
          <w:b/>
          <w:bCs/>
          <w:highlight w:val="yellow"/>
        </w:rPr>
        <w:lastRenderedPageBreak/>
        <w:t>TIMING OF PROMOTIONS FROM THE FIRST TO THE SECOND RANK</w:t>
      </w:r>
      <w:bookmarkEnd w:id="13"/>
    </w:p>
    <w:p w14:paraId="53D05ACB" w14:textId="7B8715BB" w:rsidR="0012333A" w:rsidRPr="0012333A" w:rsidRDefault="0012333A" w:rsidP="006D24CF">
      <w:pPr>
        <w:spacing w:after="0" w:line="240" w:lineRule="auto"/>
        <w:rPr>
          <w:rFonts w:cstheme="minorHAnsi"/>
        </w:rPr>
      </w:pPr>
      <w:r w:rsidRPr="00FD64EA">
        <w:rPr>
          <w:rFonts w:cstheme="minorHAnsi"/>
          <w:color w:val="000000"/>
          <w:highlight w:val="yellow"/>
          <w:shd w:val="clear" w:color="auto" w:fill="FFFFFF"/>
        </w:rPr>
        <w:t>AC21 states, “</w:t>
      </w:r>
      <w:proofErr w:type="gramStart"/>
      <w:r w:rsidRPr="00FD64EA">
        <w:rPr>
          <w:rFonts w:cstheme="minorHAnsi"/>
          <w:color w:val="000000"/>
          <w:highlight w:val="yellow"/>
          <w:shd w:val="clear" w:color="auto" w:fill="FFFFFF"/>
        </w:rPr>
        <w:t>Non-tenure</w:t>
      </w:r>
      <w:proofErr w:type="gramEnd"/>
      <w:r w:rsidRPr="00FD64EA">
        <w:rPr>
          <w:rFonts w:cstheme="minorHAnsi"/>
          <w:color w:val="000000"/>
          <w:highlight w:val="yellow"/>
          <w:shd w:val="clear" w:color="auto" w:fill="FFFFFF"/>
        </w:rPr>
        <w:t xml:space="preserve">-line faculty should become eligible for promotion to the second rank after five years in rank, and would be permitted to compile their promotion dossiers in their fifth year.” </w:t>
      </w:r>
      <w:r w:rsidR="00E525B0" w:rsidRPr="00FD64EA">
        <w:rPr>
          <w:rFonts w:cstheme="minorHAnsi"/>
          <w:color w:val="000000"/>
          <w:highlight w:val="yellow"/>
          <w:shd w:val="clear" w:color="auto" w:fill="FFFFFF"/>
        </w:rPr>
        <w:t>While faculty may compile their dossiers in their fifth year, they may not be promoted until their sixth yea</w:t>
      </w:r>
      <w:r w:rsidR="00586764" w:rsidRPr="00FD64EA">
        <w:rPr>
          <w:rFonts w:cstheme="minorHAnsi"/>
          <w:color w:val="000000"/>
          <w:highlight w:val="yellow"/>
          <w:shd w:val="clear" w:color="auto" w:fill="FFFFFF"/>
        </w:rPr>
        <w:t xml:space="preserve">r. For example, if a faculty member was hired at the beginning of the 2020-21 academic year, then they may compile their dossier during the </w:t>
      </w:r>
      <w:r w:rsidR="00FD64EA" w:rsidRPr="00FD64EA">
        <w:rPr>
          <w:rFonts w:cstheme="minorHAnsi"/>
          <w:color w:val="000000"/>
          <w:highlight w:val="yellow"/>
          <w:shd w:val="clear" w:color="auto" w:fill="FFFFFF"/>
        </w:rPr>
        <w:t>2024-25 academic year and go through the promotion process during the 2025-26 academic year.</w:t>
      </w:r>
      <w:r w:rsidRPr="0012333A">
        <w:rPr>
          <w:rFonts w:cstheme="minorHAnsi"/>
          <w:color w:val="000000"/>
          <w:shd w:val="clear" w:color="auto" w:fill="FFFFFF"/>
        </w:rPr>
        <w:t> </w:t>
      </w:r>
    </w:p>
    <w:p w14:paraId="63236481" w14:textId="77777777" w:rsidR="00047ED0" w:rsidRDefault="00047ED0" w:rsidP="296D6175">
      <w:pPr>
        <w:spacing w:after="0" w:line="240" w:lineRule="auto"/>
        <w:rPr>
          <w:rFonts w:ascii="Calibri" w:eastAsia="Calibri" w:hAnsi="Calibri" w:cs="Calibri"/>
          <w:color w:val="000000" w:themeColor="text1"/>
        </w:rPr>
      </w:pPr>
    </w:p>
    <w:p w14:paraId="2DAFB3E8" w14:textId="553E2EF1" w:rsidR="00882521" w:rsidRDefault="00BC259D" w:rsidP="11D6179D">
      <w:pPr>
        <w:pStyle w:val="Heading2"/>
        <w:rPr>
          <w:b/>
          <w:bCs/>
          <w:highlight w:val="yellow"/>
        </w:rPr>
      </w:pPr>
      <w:bookmarkStart w:id="14" w:name="_Toc139283462"/>
      <w:r w:rsidRPr="0A3403A7">
        <w:rPr>
          <w:b/>
          <w:bCs/>
          <w:highlight w:val="yellow"/>
        </w:rPr>
        <w:t xml:space="preserve">PROMOTION </w:t>
      </w:r>
      <w:r w:rsidR="00882521" w:rsidRPr="0A3403A7">
        <w:rPr>
          <w:b/>
          <w:bCs/>
          <w:highlight w:val="yellow"/>
        </w:rPr>
        <w:t>TIMELINE</w:t>
      </w:r>
      <w:bookmarkEnd w:id="14"/>
    </w:p>
    <w:p w14:paraId="7D7CC3D5" w14:textId="77777777" w:rsidR="0072558C" w:rsidRDefault="0072558C" w:rsidP="11D6179D">
      <w:pPr>
        <w:rPr>
          <w:highlight w:val="yellow"/>
        </w:rPr>
      </w:pPr>
      <w:r w:rsidRPr="11D6179D">
        <w:rPr>
          <w:highlight w:val="yellow"/>
        </w:rPr>
        <w:t>Following is a timeline for non-tenure-line faculty promotions:</w:t>
      </w:r>
      <w:r w:rsidR="00882521">
        <w:t xml:space="preserve"> </w:t>
      </w:r>
    </w:p>
    <w:p w14:paraId="45ECBF15" w14:textId="7E5F36EB" w:rsidR="0072558C" w:rsidRPr="00E87946" w:rsidRDefault="5085A08E" w:rsidP="00E87946">
      <w:pPr>
        <w:pStyle w:val="ListParagraph"/>
        <w:numPr>
          <w:ilvl w:val="0"/>
          <w:numId w:val="8"/>
        </w:numPr>
        <w:rPr>
          <w:highlight w:val="yellow"/>
        </w:rPr>
      </w:pPr>
      <w:r w:rsidRPr="57EE33B0">
        <w:rPr>
          <w:highlight w:val="yellow"/>
        </w:rPr>
        <w:t>May 15</w:t>
      </w:r>
      <w:r w:rsidR="0072558C" w:rsidRPr="57EE33B0">
        <w:rPr>
          <w:highlight w:val="yellow"/>
        </w:rPr>
        <w:t xml:space="preserve">: Deans provide a list of promoted </w:t>
      </w:r>
      <w:proofErr w:type="gramStart"/>
      <w:r w:rsidR="0072558C" w:rsidRPr="57EE33B0">
        <w:rPr>
          <w:highlight w:val="yellow"/>
        </w:rPr>
        <w:t>faculty</w:t>
      </w:r>
      <w:proofErr w:type="gramEnd"/>
      <w:r w:rsidR="0072558C" w:rsidRPr="57EE33B0">
        <w:rPr>
          <w:highlight w:val="yellow"/>
        </w:rPr>
        <w:t xml:space="preserve"> to the Office of the Vice Provost for Faculty Affairs</w:t>
      </w:r>
    </w:p>
    <w:p w14:paraId="5718CD37" w14:textId="732CCB74" w:rsidR="00882521" w:rsidRPr="00E87946" w:rsidRDefault="0646C6D0" w:rsidP="00E87946">
      <w:pPr>
        <w:pStyle w:val="ListParagraph"/>
        <w:numPr>
          <w:ilvl w:val="0"/>
          <w:numId w:val="8"/>
        </w:numPr>
        <w:rPr>
          <w:highlight w:val="yellow"/>
        </w:rPr>
      </w:pPr>
      <w:r w:rsidRPr="57EE33B0">
        <w:rPr>
          <w:highlight w:val="yellow"/>
        </w:rPr>
        <w:t xml:space="preserve">Early </w:t>
      </w:r>
      <w:r w:rsidR="51F315E0" w:rsidRPr="57EE33B0">
        <w:rPr>
          <w:highlight w:val="yellow"/>
        </w:rPr>
        <w:t>June:</w:t>
      </w:r>
      <w:r w:rsidR="00334B32" w:rsidRPr="57EE33B0">
        <w:rPr>
          <w:highlight w:val="yellow"/>
        </w:rPr>
        <w:t xml:space="preserve"> List of promoted </w:t>
      </w:r>
      <w:proofErr w:type="gramStart"/>
      <w:r w:rsidR="00334B32" w:rsidRPr="57EE33B0">
        <w:rPr>
          <w:highlight w:val="yellow"/>
        </w:rPr>
        <w:t>faculty</w:t>
      </w:r>
      <w:proofErr w:type="gramEnd"/>
      <w:r w:rsidR="00334B32" w:rsidRPr="57EE33B0">
        <w:rPr>
          <w:highlight w:val="yellow"/>
        </w:rPr>
        <w:t xml:space="preserve"> is published</w:t>
      </w:r>
    </w:p>
    <w:p w14:paraId="3CCAAB5F" w14:textId="512ADD62" w:rsidR="6ADC9665" w:rsidRPr="00E56596" w:rsidRDefault="00663D03" w:rsidP="00663D03">
      <w:pPr>
        <w:pStyle w:val="Heading2"/>
        <w:rPr>
          <w:b/>
          <w:bCs/>
          <w:highlight w:val="yellow"/>
        </w:rPr>
      </w:pPr>
      <w:bookmarkStart w:id="15" w:name="_Toc139283463"/>
      <w:r w:rsidRPr="0A3403A7">
        <w:rPr>
          <w:b/>
          <w:bCs/>
          <w:highlight w:val="yellow"/>
        </w:rPr>
        <w:t>COMMUNICATING CONTRACT LENGTH WITH A PROMOTION</w:t>
      </w:r>
      <w:bookmarkEnd w:id="15"/>
    </w:p>
    <w:p w14:paraId="06928712" w14:textId="77777777" w:rsidR="001933AA" w:rsidRDefault="00E56596" w:rsidP="001933AA">
      <w:pPr>
        <w:spacing w:after="0" w:line="240" w:lineRule="auto"/>
        <w:rPr>
          <w:highlight w:val="yellow"/>
        </w:rPr>
      </w:pPr>
      <w:r w:rsidRPr="2B7C8C0F">
        <w:rPr>
          <w:highlight w:val="yellow"/>
        </w:rPr>
        <w:t xml:space="preserve">AC21 specifies that </w:t>
      </w:r>
      <w:r w:rsidR="00A46122" w:rsidRPr="2B7C8C0F">
        <w:rPr>
          <w:highlight w:val="yellow"/>
        </w:rPr>
        <w:t xml:space="preserve">1) unit leaders </w:t>
      </w:r>
      <w:r w:rsidR="003722CE" w:rsidRPr="2B7C8C0F">
        <w:rPr>
          <w:highlight w:val="yellow"/>
        </w:rPr>
        <w:t>are encouraged</w:t>
      </w:r>
      <w:r w:rsidR="3C9106A9" w:rsidRPr="2B7C8C0F">
        <w:rPr>
          <w:highlight w:val="yellow"/>
        </w:rPr>
        <w:t xml:space="preserve"> </w:t>
      </w:r>
      <w:r w:rsidR="002335AD" w:rsidRPr="2B7C8C0F">
        <w:rPr>
          <w:highlight w:val="yellow"/>
        </w:rPr>
        <w:t>to</w:t>
      </w:r>
      <w:r w:rsidR="00A46122" w:rsidRPr="2B7C8C0F">
        <w:rPr>
          <w:highlight w:val="yellow"/>
        </w:rPr>
        <w:t xml:space="preserve"> offer promoted faculty the longest contract term that circumstances warrant, 2)</w:t>
      </w:r>
      <w:r w:rsidR="00ED5C86" w:rsidRPr="2B7C8C0F">
        <w:rPr>
          <w:highlight w:val="yellow"/>
        </w:rPr>
        <w:t xml:space="preserve"> those promoted to the third rank shall be considered for the longest length of contract available, and 3) if a multi-year contract is not granted, the factors that shaped that decision shall be communicated to the faculty member. </w:t>
      </w:r>
      <w:r w:rsidR="00323A96" w:rsidRPr="2B7C8C0F">
        <w:rPr>
          <w:highlight w:val="yellow"/>
        </w:rPr>
        <w:t xml:space="preserve">If, </w:t>
      </w:r>
      <w:r w:rsidR="009A74BE" w:rsidRPr="2B7C8C0F">
        <w:rPr>
          <w:highlight w:val="yellow"/>
        </w:rPr>
        <w:t>at the time of promotion,</w:t>
      </w:r>
      <w:r w:rsidR="00323A96" w:rsidRPr="2B7C8C0F">
        <w:rPr>
          <w:highlight w:val="yellow"/>
        </w:rPr>
        <w:t xml:space="preserve"> a unit is not able to offer a </w:t>
      </w:r>
      <w:r w:rsidR="578B4551" w:rsidRPr="2B7C8C0F">
        <w:rPr>
          <w:highlight w:val="yellow"/>
        </w:rPr>
        <w:t>multi-year contract</w:t>
      </w:r>
      <w:r w:rsidR="00323A96" w:rsidRPr="2B7C8C0F">
        <w:rPr>
          <w:highlight w:val="yellow"/>
        </w:rPr>
        <w:t>,</w:t>
      </w:r>
      <w:r w:rsidR="009A74BE" w:rsidRPr="2B7C8C0F">
        <w:rPr>
          <w:highlight w:val="yellow"/>
        </w:rPr>
        <w:t xml:space="preserve"> then the unit</w:t>
      </w:r>
      <w:r w:rsidR="00323A96" w:rsidRPr="2B7C8C0F">
        <w:rPr>
          <w:highlight w:val="yellow"/>
        </w:rPr>
        <w:t xml:space="preserve"> </w:t>
      </w:r>
      <w:r w:rsidRPr="2B7C8C0F">
        <w:rPr>
          <w:highlight w:val="yellow"/>
        </w:rPr>
        <w:t>should communicate in writing</w:t>
      </w:r>
      <w:r w:rsidR="009A74BE" w:rsidRPr="2B7C8C0F">
        <w:rPr>
          <w:highlight w:val="yellow"/>
        </w:rPr>
        <w:t xml:space="preserve"> the reasons why a longer contract was not offered. </w:t>
      </w:r>
      <w:r w:rsidR="5D316384" w:rsidRPr="2B7C8C0F">
        <w:rPr>
          <w:highlight w:val="yellow"/>
        </w:rPr>
        <w:t>Units are encouraged to be transparent</w:t>
      </w:r>
      <w:r w:rsidR="5EFCA722" w:rsidRPr="2B7C8C0F">
        <w:rPr>
          <w:highlight w:val="yellow"/>
        </w:rPr>
        <w:t xml:space="preserve"> with promoted faculty</w:t>
      </w:r>
      <w:r w:rsidR="5D316384" w:rsidRPr="2B7C8C0F">
        <w:rPr>
          <w:highlight w:val="yellow"/>
        </w:rPr>
        <w:t xml:space="preserve"> about the </w:t>
      </w:r>
      <w:r w:rsidR="63A0A508" w:rsidRPr="2B7C8C0F">
        <w:rPr>
          <w:highlight w:val="yellow"/>
        </w:rPr>
        <w:t xml:space="preserve">factors that </w:t>
      </w:r>
      <w:r w:rsidR="32061F15" w:rsidRPr="2B7C8C0F">
        <w:rPr>
          <w:highlight w:val="yellow"/>
        </w:rPr>
        <w:t xml:space="preserve">shape the unit’s decision-making </w:t>
      </w:r>
      <w:proofErr w:type="gramStart"/>
      <w:r w:rsidR="32061F15" w:rsidRPr="2B7C8C0F">
        <w:rPr>
          <w:highlight w:val="yellow"/>
        </w:rPr>
        <w:t>with regard to</w:t>
      </w:r>
      <w:proofErr w:type="gramEnd"/>
      <w:r w:rsidR="63A0A508" w:rsidRPr="2B7C8C0F">
        <w:rPr>
          <w:highlight w:val="yellow"/>
        </w:rPr>
        <w:t xml:space="preserve"> </w:t>
      </w:r>
      <w:r w:rsidR="0F99AC31" w:rsidRPr="2B7C8C0F">
        <w:rPr>
          <w:highlight w:val="yellow"/>
        </w:rPr>
        <w:t>co</w:t>
      </w:r>
      <w:r w:rsidR="63A0A508" w:rsidRPr="2B7C8C0F">
        <w:rPr>
          <w:highlight w:val="yellow"/>
        </w:rPr>
        <w:t>ntract length</w:t>
      </w:r>
      <w:r w:rsidR="736139E3" w:rsidRPr="2B7C8C0F">
        <w:rPr>
          <w:highlight w:val="yellow"/>
        </w:rPr>
        <w:t xml:space="preserve"> (i.e., standard practice in the unit, budgetary concerns, etc.). </w:t>
      </w:r>
    </w:p>
    <w:p w14:paraId="55E82C0B" w14:textId="6B18CDFC" w:rsidR="00E56596" w:rsidRPr="009A74BE" w:rsidRDefault="00E56596" w:rsidP="53357090">
      <w:pPr>
        <w:spacing w:after="0" w:line="240" w:lineRule="auto"/>
      </w:pPr>
    </w:p>
    <w:p w14:paraId="0A3E572D" w14:textId="65B3617C" w:rsidR="00A932E5" w:rsidRDefault="0F0159EC" w:rsidP="3D6F1965">
      <w:pPr>
        <w:pStyle w:val="Heading2"/>
        <w:rPr>
          <w:b/>
          <w:bCs/>
        </w:rPr>
      </w:pPr>
      <w:bookmarkStart w:id="16" w:name="_Toc139283464"/>
      <w:r w:rsidRPr="0A3403A7">
        <w:rPr>
          <w:b/>
          <w:bCs/>
        </w:rPr>
        <w:t>EARLY PROMOTION</w:t>
      </w:r>
      <w:bookmarkEnd w:id="16"/>
      <w:r w:rsidRPr="0A3403A7">
        <w:rPr>
          <w:b/>
          <w:bCs/>
        </w:rPr>
        <w:t xml:space="preserve"> </w:t>
      </w:r>
    </w:p>
    <w:p w14:paraId="2013A55A" w14:textId="374934BC" w:rsidR="00A932E5" w:rsidRDefault="0F0159EC" w:rsidP="3D6F1965">
      <w:pPr>
        <w:spacing w:after="0" w:line="240" w:lineRule="auto"/>
      </w:pPr>
      <w:r>
        <w:t xml:space="preserve">“Early” promotions, </w:t>
      </w:r>
      <w:proofErr w:type="spellStart"/>
      <w:r>
        <w:t>i.e</w:t>
      </w:r>
      <w:proofErr w:type="spellEnd"/>
      <w:r>
        <w:t>, promotions from the first to the second rank that occur before five years has elapsed, are different from out-of-sequence promotions and may occur with the approval of the unit executive.</w:t>
      </w:r>
    </w:p>
    <w:p w14:paraId="68B19DC5" w14:textId="77777777" w:rsidR="00C81C7B" w:rsidRDefault="00C81C7B" w:rsidP="3D6F1965">
      <w:pPr>
        <w:spacing w:after="0" w:line="240" w:lineRule="auto"/>
      </w:pPr>
    </w:p>
    <w:p w14:paraId="132059C3" w14:textId="5CACB23C" w:rsidR="00A932E5" w:rsidRDefault="00A932E5" w:rsidP="3D6F1965">
      <w:pPr>
        <w:pStyle w:val="Heading2"/>
        <w:rPr>
          <w:b/>
          <w:bCs/>
        </w:rPr>
      </w:pPr>
      <w:bookmarkStart w:id="17" w:name="_Toc139283465"/>
      <w:r w:rsidRPr="0A3403A7">
        <w:rPr>
          <w:b/>
          <w:bCs/>
        </w:rPr>
        <w:t>OUT-OF-SEQUENCE PROMOTION OF NON-TENURE-LINE FACULTY MEMBERS</w:t>
      </w:r>
      <w:bookmarkEnd w:id="17"/>
      <w:r w:rsidRPr="0A3403A7">
        <w:rPr>
          <w:b/>
          <w:bCs/>
        </w:rPr>
        <w:t xml:space="preserve"> </w:t>
      </w:r>
    </w:p>
    <w:p w14:paraId="1B7CB213" w14:textId="77777777" w:rsidR="0079010E" w:rsidRDefault="0079010E" w:rsidP="00A932E5">
      <w:pPr>
        <w:spacing w:after="0" w:line="240" w:lineRule="auto"/>
        <w:contextualSpacing/>
      </w:pPr>
    </w:p>
    <w:p w14:paraId="034AC600" w14:textId="77777777" w:rsidR="00A932E5" w:rsidRDefault="00A932E5" w:rsidP="00C23565">
      <w:pPr>
        <w:pStyle w:val="Heading3"/>
      </w:pPr>
      <w:bookmarkStart w:id="18" w:name="_Toc139283466"/>
      <w:r>
        <w:t>Requests and Applicability</w:t>
      </w:r>
      <w:bookmarkEnd w:id="18"/>
      <w:r>
        <w:t xml:space="preserve"> </w:t>
      </w:r>
    </w:p>
    <w:p w14:paraId="573F9F54" w14:textId="71960922" w:rsidR="00A932E5" w:rsidRDefault="00A932E5" w:rsidP="13F0B8EB">
      <w:pPr>
        <w:spacing w:after="0" w:line="240" w:lineRule="auto"/>
        <w:contextualSpacing/>
      </w:pPr>
      <w:r>
        <w:t xml:space="preserve">A request for an out-of-sequence review must be made </w:t>
      </w:r>
      <w:r w:rsidR="163C8440">
        <w:t xml:space="preserve">by the dean </w:t>
      </w:r>
      <w:r>
        <w:t>to the Vice Provost for Faculty Affairs.</w:t>
      </w:r>
      <w:r w:rsidR="546A9A64">
        <w:t xml:space="preserve"> The dean should send</w:t>
      </w:r>
      <w:r w:rsidR="5EC1779E">
        <w:t xml:space="preserve"> the candidate’s CV along with</w:t>
      </w:r>
      <w:r w:rsidR="546A9A64">
        <w:t xml:space="preserve"> a letter outlining the reason</w:t>
      </w:r>
      <w:r w:rsidR="4B87BD49">
        <w:t>(s)</w:t>
      </w:r>
      <w:r w:rsidR="546A9A64">
        <w:t xml:space="preserve"> </w:t>
      </w:r>
      <w:r w:rsidR="4E1A067A">
        <w:t xml:space="preserve">why the review had not or could not be done </w:t>
      </w:r>
      <w:r w:rsidR="00653D72">
        <w:t>in accordance with</w:t>
      </w:r>
      <w:r w:rsidR="4E1A067A">
        <w:t xml:space="preserve"> the regular timetable</w:t>
      </w:r>
      <w:r w:rsidR="0E2B78B1">
        <w:t>.</w:t>
      </w:r>
      <w:r>
        <w:t xml:space="preserve"> </w:t>
      </w:r>
      <w:r w:rsidR="2B578821">
        <w:t>Please note that out-of</w:t>
      </w:r>
      <w:r w:rsidR="0488E6D7">
        <w:t>-</w:t>
      </w:r>
      <w:r w:rsidR="2B578821">
        <w:t xml:space="preserve"> sequence promotions occur primarily for retention purposes and </w:t>
      </w:r>
      <w:r w:rsidR="4CF53CE2">
        <w:t>at a time</w:t>
      </w:r>
      <w:r w:rsidR="2B578821">
        <w:t xml:space="preserve"> that differs from the standard promotion </w:t>
      </w:r>
      <w:r w:rsidR="5FFE4F83">
        <w:t>cycle</w:t>
      </w:r>
      <w:r w:rsidR="53647E66">
        <w:t xml:space="preserve">. </w:t>
      </w:r>
    </w:p>
    <w:p w14:paraId="27715FF0" w14:textId="75886C3B" w:rsidR="3D8D0B12" w:rsidRDefault="3D8D0B12" w:rsidP="3D8D0B12">
      <w:pPr>
        <w:spacing w:after="0" w:line="240" w:lineRule="auto"/>
      </w:pPr>
    </w:p>
    <w:p w14:paraId="53E78063" w14:textId="10F3B150" w:rsidR="00A932E5" w:rsidRDefault="00A932E5" w:rsidP="3D8D0B12">
      <w:pPr>
        <w:pStyle w:val="Heading3"/>
        <w:spacing w:line="240" w:lineRule="auto"/>
      </w:pPr>
      <w:bookmarkStart w:id="19" w:name="_Toc139283467"/>
      <w:r>
        <w:t>Procedure</w:t>
      </w:r>
      <w:bookmarkEnd w:id="19"/>
      <w:r>
        <w:t xml:space="preserve"> </w:t>
      </w:r>
    </w:p>
    <w:p w14:paraId="053E7A55" w14:textId="2AA6B403" w:rsidR="0079010E" w:rsidRDefault="0079010E" w:rsidP="0079010E">
      <w:pPr>
        <w:spacing w:after="0" w:line="240" w:lineRule="auto"/>
        <w:contextualSpacing/>
      </w:pPr>
      <w:r>
        <w:t xml:space="preserve">If approved by the Office of the Vice Provost for Faculty Affairs, then a dossier, along with a letter from the dean, must be presented to the unit’s non-tenure-line promotion committee, consistent with the College’s non-tenure-line promotion guidelines. </w:t>
      </w:r>
    </w:p>
    <w:p w14:paraId="5B3DF692" w14:textId="77777777" w:rsidR="00A932E5" w:rsidRDefault="00A932E5" w:rsidP="00A932E5">
      <w:pPr>
        <w:spacing w:after="0" w:line="240" w:lineRule="auto"/>
        <w:contextualSpacing/>
      </w:pPr>
    </w:p>
    <w:p w14:paraId="732927A3" w14:textId="0DECCB6E" w:rsidR="00A932E5" w:rsidRDefault="00A932E5" w:rsidP="00A932E5">
      <w:pPr>
        <w:spacing w:after="0" w:line="240" w:lineRule="auto"/>
        <w:contextualSpacing/>
      </w:pPr>
      <w:r>
        <w:t xml:space="preserve">To the extent possible, the same college </w:t>
      </w:r>
      <w:r w:rsidR="18715730">
        <w:t>(</w:t>
      </w:r>
      <w:r>
        <w:t>and department</w:t>
      </w:r>
      <w:r w:rsidR="4826340F">
        <w:t>/division/school</w:t>
      </w:r>
      <w:r>
        <w:t xml:space="preserve"> review committees</w:t>
      </w:r>
      <w:r w:rsidR="6EE25A2F">
        <w:t>, if applicable)</w:t>
      </w:r>
      <w:r>
        <w:t xml:space="preserve"> that were appointed at the beginning of the review process will be convened to make </w:t>
      </w:r>
      <w:r>
        <w:lastRenderedPageBreak/>
        <w:t xml:space="preserve">recommendations in cases of out-of-sequence reviews to the </w:t>
      </w:r>
      <w:r w:rsidR="240E4E81">
        <w:t>d</w:t>
      </w:r>
      <w:r>
        <w:t xml:space="preserve">ean of the College. The </w:t>
      </w:r>
      <w:r w:rsidR="615C0FB0">
        <w:t>d</w:t>
      </w:r>
      <w:r>
        <w:t xml:space="preserve">ean will conduct their review of the out-of-sequence </w:t>
      </w:r>
      <w:proofErr w:type="gramStart"/>
      <w:r>
        <w:t>case</w:t>
      </w:r>
      <w:proofErr w:type="gramEnd"/>
      <w:r>
        <w:t xml:space="preserve"> keeping with their standard procedures. The candidate will receive a letter from the </w:t>
      </w:r>
      <w:r w:rsidR="3AAC151B">
        <w:t>d</w:t>
      </w:r>
      <w:r>
        <w:t xml:space="preserve">ean of the College awarding the new rank. In the event of a negative promotion review, the candidate will also receive a letter from the </w:t>
      </w:r>
      <w:r w:rsidR="0B2741C9">
        <w:t>d</w:t>
      </w:r>
      <w:r>
        <w:t xml:space="preserve">ean of the College. </w:t>
      </w:r>
    </w:p>
    <w:p w14:paraId="489A17CF" w14:textId="77777777" w:rsidR="00A932E5" w:rsidRDefault="00A932E5" w:rsidP="00A932E5">
      <w:pPr>
        <w:spacing w:after="0" w:line="240" w:lineRule="auto"/>
        <w:contextualSpacing/>
      </w:pPr>
    </w:p>
    <w:p w14:paraId="458AFC04" w14:textId="77777777" w:rsidR="00A932E5" w:rsidRDefault="00A932E5" w:rsidP="00C23565">
      <w:pPr>
        <w:pStyle w:val="Heading3"/>
      </w:pPr>
      <w:bookmarkStart w:id="20" w:name="_Toc139283468"/>
      <w:r>
        <w:t>Implementation Date for New Rank</w:t>
      </w:r>
      <w:bookmarkEnd w:id="20"/>
      <w:r>
        <w:t xml:space="preserve"> </w:t>
      </w:r>
    </w:p>
    <w:p w14:paraId="47F467A0" w14:textId="27AEB821" w:rsidR="00A932E5" w:rsidRPr="00A932E5" w:rsidRDefault="00A932E5" w:rsidP="00A932E5">
      <w:pPr>
        <w:spacing w:after="0" w:line="240" w:lineRule="auto"/>
        <w:contextualSpacing/>
        <w:rPr>
          <w:rFonts w:ascii="Arial" w:hAnsi="Arial" w:cs="Arial"/>
        </w:rPr>
      </w:pPr>
      <w:r>
        <w:t>As is the case for promotion decisions made in the regular sequence, new rank would be implemented at the start of the next academic year following the decision.</w:t>
      </w:r>
    </w:p>
    <w:p w14:paraId="63BC413D" w14:textId="13229E9B" w:rsidR="00005EC7" w:rsidRPr="001933AA" w:rsidRDefault="00005EC7">
      <w:pPr>
        <w:rPr>
          <w:rFonts w:eastAsiaTheme="majorEastAsia" w:cstheme="minorHAnsi"/>
          <w:b/>
          <w:bCs/>
          <w:color w:val="2F5496" w:themeColor="accent1" w:themeShade="BF"/>
        </w:rPr>
      </w:pPr>
    </w:p>
    <w:p w14:paraId="4BBEC42A" w14:textId="521DFE93" w:rsidR="7F1DCDD3" w:rsidRDefault="66E94639" w:rsidP="0A3403A7">
      <w:pPr>
        <w:pStyle w:val="Heading2"/>
        <w:spacing w:before="0" w:line="240" w:lineRule="auto"/>
        <w:rPr>
          <w:b/>
          <w:bCs/>
        </w:rPr>
      </w:pPr>
      <w:bookmarkStart w:id="21" w:name="_Toc139283469"/>
      <w:r w:rsidRPr="0A3403A7">
        <w:rPr>
          <w:b/>
          <w:bCs/>
        </w:rPr>
        <w:t>COVID-19 CONSIDERATIONS</w:t>
      </w:r>
      <w:bookmarkEnd w:id="21"/>
    </w:p>
    <w:p w14:paraId="3BE870D8" w14:textId="72FEEDB1" w:rsidR="5B08EDBD" w:rsidRDefault="09F8E91D" w:rsidP="294ED9CF">
      <w:r>
        <w:t>Please refer to the document,</w:t>
      </w:r>
      <w:r w:rsidR="0C296FE0">
        <w:t xml:space="preserve"> “</w:t>
      </w:r>
      <w:hyperlink r:id="rId13">
        <w:r w:rsidR="0C296FE0" w:rsidRPr="0A3403A7">
          <w:rPr>
            <w:rStyle w:val="Hyperlink"/>
          </w:rPr>
          <w:t xml:space="preserve">Considerations for </w:t>
        </w:r>
        <w:r w:rsidR="5D0C584D" w:rsidRPr="0A3403A7">
          <w:rPr>
            <w:rStyle w:val="Hyperlink"/>
          </w:rPr>
          <w:t>Non-tenure-line</w:t>
        </w:r>
        <w:r w:rsidR="0C296FE0" w:rsidRPr="0A3403A7">
          <w:rPr>
            <w:rStyle w:val="Hyperlink"/>
          </w:rPr>
          <w:t xml:space="preserve"> Promotions in the Time of COVID-19</w:t>
        </w:r>
      </w:hyperlink>
      <w:r w:rsidR="0C296FE0">
        <w:t>”</w:t>
      </w:r>
      <w:r w:rsidR="455EC4B8">
        <w:t xml:space="preserve"> </w:t>
      </w:r>
      <w:r>
        <w:t>for information about</w:t>
      </w:r>
      <w:r w:rsidR="001CE11A">
        <w:t xml:space="preserve"> documenting the impacts of COVID-19, alternative assessments of teaching</w:t>
      </w:r>
      <w:r w:rsidR="4C0058B4">
        <w:t xml:space="preserve">, and the considerations for </w:t>
      </w:r>
      <w:r w:rsidR="5D0C584D">
        <w:t>non-tenure-line</w:t>
      </w:r>
      <w:r w:rsidR="4C0058B4">
        <w:t xml:space="preserve"> promotion committees.</w:t>
      </w:r>
      <w:r w:rsidR="455EC4B8">
        <w:t xml:space="preserve"> </w:t>
      </w:r>
    </w:p>
    <w:sectPr w:rsidR="5B08EDB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7DA1" w14:textId="77777777" w:rsidR="00D65B50" w:rsidRDefault="00D65B50">
      <w:pPr>
        <w:spacing w:after="0" w:line="240" w:lineRule="auto"/>
      </w:pPr>
      <w:r>
        <w:separator/>
      </w:r>
    </w:p>
  </w:endnote>
  <w:endnote w:type="continuationSeparator" w:id="0">
    <w:p w14:paraId="0559F497" w14:textId="77777777" w:rsidR="00D65B50" w:rsidRDefault="00D65B50">
      <w:pPr>
        <w:spacing w:after="0" w:line="240" w:lineRule="auto"/>
      </w:pPr>
      <w:r>
        <w:continuationSeparator/>
      </w:r>
    </w:p>
  </w:endnote>
  <w:endnote w:type="continuationNotice" w:id="1">
    <w:p w14:paraId="5C90990B" w14:textId="77777777" w:rsidR="00D65B50" w:rsidRDefault="00D65B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64D0D94" w14:paraId="654B350B" w14:textId="77777777" w:rsidTr="664D0D94">
      <w:tc>
        <w:tcPr>
          <w:tcW w:w="3120" w:type="dxa"/>
        </w:tcPr>
        <w:p w14:paraId="7A8FDE58" w14:textId="7B34B080" w:rsidR="664D0D94" w:rsidRDefault="664D0D94" w:rsidP="664D0D94">
          <w:pPr>
            <w:pStyle w:val="Header"/>
            <w:ind w:left="-115"/>
          </w:pPr>
        </w:p>
      </w:tc>
      <w:tc>
        <w:tcPr>
          <w:tcW w:w="3120" w:type="dxa"/>
        </w:tcPr>
        <w:p w14:paraId="4F227DEB" w14:textId="724FEEF8" w:rsidR="664D0D94" w:rsidRDefault="664D0D94" w:rsidP="664D0D94">
          <w:pPr>
            <w:pStyle w:val="Header"/>
            <w:jc w:val="center"/>
          </w:pPr>
        </w:p>
      </w:tc>
      <w:tc>
        <w:tcPr>
          <w:tcW w:w="3120" w:type="dxa"/>
        </w:tcPr>
        <w:p w14:paraId="008F44A1" w14:textId="4E15A3D9" w:rsidR="664D0D94" w:rsidRDefault="664D0D94" w:rsidP="664D0D94">
          <w:pPr>
            <w:pStyle w:val="Header"/>
            <w:ind w:right="-115"/>
            <w:jc w:val="right"/>
          </w:pPr>
        </w:p>
      </w:tc>
    </w:tr>
  </w:tbl>
  <w:p w14:paraId="7BA85977" w14:textId="5EF61756" w:rsidR="664D0D94" w:rsidRDefault="664D0D94" w:rsidP="664D0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007802"/>
      <w:docPartObj>
        <w:docPartGallery w:val="Page Numbers (Bottom of Page)"/>
        <w:docPartUnique/>
      </w:docPartObj>
    </w:sdtPr>
    <w:sdtEndPr>
      <w:rPr>
        <w:noProof/>
      </w:rPr>
    </w:sdtEndPr>
    <w:sdtContent>
      <w:p w14:paraId="16AE6BBC" w14:textId="0F89AF60" w:rsidR="003F55C4" w:rsidRDefault="003F55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356378" w14:textId="08EE781C" w:rsidR="664D0D94" w:rsidRDefault="664D0D94" w:rsidP="664D0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22CF" w14:textId="77777777" w:rsidR="00D65B50" w:rsidRDefault="00D65B50">
      <w:pPr>
        <w:spacing w:after="0" w:line="240" w:lineRule="auto"/>
      </w:pPr>
      <w:r>
        <w:separator/>
      </w:r>
    </w:p>
  </w:footnote>
  <w:footnote w:type="continuationSeparator" w:id="0">
    <w:p w14:paraId="7E7F9241" w14:textId="77777777" w:rsidR="00D65B50" w:rsidRDefault="00D65B50">
      <w:pPr>
        <w:spacing w:after="0" w:line="240" w:lineRule="auto"/>
      </w:pPr>
      <w:r>
        <w:continuationSeparator/>
      </w:r>
    </w:p>
  </w:footnote>
  <w:footnote w:type="continuationNotice" w:id="1">
    <w:p w14:paraId="4361B839" w14:textId="77777777" w:rsidR="00D65B50" w:rsidRDefault="00D65B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64D0D94" w14:paraId="6D23B6C5" w14:textId="77777777" w:rsidTr="664D0D94">
      <w:tc>
        <w:tcPr>
          <w:tcW w:w="3120" w:type="dxa"/>
        </w:tcPr>
        <w:p w14:paraId="7D486A24" w14:textId="6D9940FC" w:rsidR="664D0D94" w:rsidRDefault="664D0D94" w:rsidP="664D0D94">
          <w:pPr>
            <w:pStyle w:val="Header"/>
            <w:ind w:left="-115"/>
          </w:pPr>
        </w:p>
      </w:tc>
      <w:tc>
        <w:tcPr>
          <w:tcW w:w="3120" w:type="dxa"/>
        </w:tcPr>
        <w:p w14:paraId="54B37C33" w14:textId="73E2E30F" w:rsidR="664D0D94" w:rsidRDefault="664D0D94" w:rsidP="664D0D94">
          <w:pPr>
            <w:pStyle w:val="Header"/>
            <w:jc w:val="center"/>
          </w:pPr>
        </w:p>
      </w:tc>
      <w:tc>
        <w:tcPr>
          <w:tcW w:w="3120" w:type="dxa"/>
        </w:tcPr>
        <w:p w14:paraId="3A14E27B" w14:textId="6AD53548" w:rsidR="664D0D94" w:rsidRDefault="664D0D94" w:rsidP="664D0D94">
          <w:pPr>
            <w:pStyle w:val="Header"/>
            <w:ind w:right="-115"/>
            <w:jc w:val="right"/>
          </w:pPr>
        </w:p>
      </w:tc>
    </w:tr>
  </w:tbl>
  <w:p w14:paraId="07312A3D" w14:textId="53D9344F" w:rsidR="664D0D94" w:rsidRDefault="664D0D94" w:rsidP="664D0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64D0D94" w14:paraId="282CCDCD" w14:textId="77777777" w:rsidTr="664D0D94">
      <w:tc>
        <w:tcPr>
          <w:tcW w:w="3120" w:type="dxa"/>
        </w:tcPr>
        <w:p w14:paraId="63CD0FB6" w14:textId="7692C17A" w:rsidR="664D0D94" w:rsidRDefault="664D0D94" w:rsidP="664D0D94">
          <w:pPr>
            <w:pStyle w:val="Header"/>
            <w:ind w:left="-115"/>
          </w:pPr>
        </w:p>
      </w:tc>
      <w:tc>
        <w:tcPr>
          <w:tcW w:w="3120" w:type="dxa"/>
        </w:tcPr>
        <w:p w14:paraId="59069B19" w14:textId="35C432A0" w:rsidR="664D0D94" w:rsidRDefault="664D0D94" w:rsidP="664D0D94">
          <w:pPr>
            <w:pStyle w:val="Header"/>
            <w:jc w:val="center"/>
          </w:pPr>
        </w:p>
      </w:tc>
      <w:tc>
        <w:tcPr>
          <w:tcW w:w="3120" w:type="dxa"/>
        </w:tcPr>
        <w:p w14:paraId="179534B1" w14:textId="1D07F1E1" w:rsidR="664D0D94" w:rsidRDefault="664D0D94" w:rsidP="664D0D94">
          <w:pPr>
            <w:pStyle w:val="Header"/>
            <w:ind w:right="-115"/>
            <w:jc w:val="right"/>
          </w:pPr>
        </w:p>
      </w:tc>
    </w:tr>
  </w:tbl>
  <w:p w14:paraId="23DC6EEE" w14:textId="58335264" w:rsidR="664D0D94" w:rsidRDefault="664D0D94" w:rsidP="664D0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5A44"/>
    <w:multiLevelType w:val="hybridMultilevel"/>
    <w:tmpl w:val="FFFFFFFF"/>
    <w:lvl w:ilvl="0" w:tplc="40427936">
      <w:start w:val="1"/>
      <w:numFmt w:val="bullet"/>
      <w:lvlText w:val="·"/>
      <w:lvlJc w:val="left"/>
      <w:pPr>
        <w:ind w:left="720" w:hanging="360"/>
      </w:pPr>
      <w:rPr>
        <w:rFonts w:ascii="Symbol" w:hAnsi="Symbol" w:hint="default"/>
      </w:rPr>
    </w:lvl>
    <w:lvl w:ilvl="1" w:tplc="7E74A568">
      <w:start w:val="1"/>
      <w:numFmt w:val="bullet"/>
      <w:lvlText w:val="o"/>
      <w:lvlJc w:val="left"/>
      <w:pPr>
        <w:ind w:left="1440" w:hanging="360"/>
      </w:pPr>
      <w:rPr>
        <w:rFonts w:ascii="Courier New" w:hAnsi="Courier New" w:hint="default"/>
      </w:rPr>
    </w:lvl>
    <w:lvl w:ilvl="2" w:tplc="2A568640">
      <w:start w:val="1"/>
      <w:numFmt w:val="bullet"/>
      <w:lvlText w:val=""/>
      <w:lvlJc w:val="left"/>
      <w:pPr>
        <w:ind w:left="2160" w:hanging="360"/>
      </w:pPr>
      <w:rPr>
        <w:rFonts w:ascii="Wingdings" w:hAnsi="Wingdings" w:hint="default"/>
      </w:rPr>
    </w:lvl>
    <w:lvl w:ilvl="3" w:tplc="A7B65CD0">
      <w:start w:val="1"/>
      <w:numFmt w:val="bullet"/>
      <w:lvlText w:val=""/>
      <w:lvlJc w:val="left"/>
      <w:pPr>
        <w:ind w:left="2880" w:hanging="360"/>
      </w:pPr>
      <w:rPr>
        <w:rFonts w:ascii="Symbol" w:hAnsi="Symbol" w:hint="default"/>
      </w:rPr>
    </w:lvl>
    <w:lvl w:ilvl="4" w:tplc="20942412">
      <w:start w:val="1"/>
      <w:numFmt w:val="bullet"/>
      <w:lvlText w:val="o"/>
      <w:lvlJc w:val="left"/>
      <w:pPr>
        <w:ind w:left="3600" w:hanging="360"/>
      </w:pPr>
      <w:rPr>
        <w:rFonts w:ascii="Courier New" w:hAnsi="Courier New" w:hint="default"/>
      </w:rPr>
    </w:lvl>
    <w:lvl w:ilvl="5" w:tplc="24ECED2E">
      <w:start w:val="1"/>
      <w:numFmt w:val="bullet"/>
      <w:lvlText w:val=""/>
      <w:lvlJc w:val="left"/>
      <w:pPr>
        <w:ind w:left="4320" w:hanging="360"/>
      </w:pPr>
      <w:rPr>
        <w:rFonts w:ascii="Wingdings" w:hAnsi="Wingdings" w:hint="default"/>
      </w:rPr>
    </w:lvl>
    <w:lvl w:ilvl="6" w:tplc="8F9012E8">
      <w:start w:val="1"/>
      <w:numFmt w:val="bullet"/>
      <w:lvlText w:val=""/>
      <w:lvlJc w:val="left"/>
      <w:pPr>
        <w:ind w:left="5040" w:hanging="360"/>
      </w:pPr>
      <w:rPr>
        <w:rFonts w:ascii="Symbol" w:hAnsi="Symbol" w:hint="default"/>
      </w:rPr>
    </w:lvl>
    <w:lvl w:ilvl="7" w:tplc="BC1857A4">
      <w:start w:val="1"/>
      <w:numFmt w:val="bullet"/>
      <w:lvlText w:val="o"/>
      <w:lvlJc w:val="left"/>
      <w:pPr>
        <w:ind w:left="5760" w:hanging="360"/>
      </w:pPr>
      <w:rPr>
        <w:rFonts w:ascii="Courier New" w:hAnsi="Courier New" w:hint="default"/>
      </w:rPr>
    </w:lvl>
    <w:lvl w:ilvl="8" w:tplc="A1D280D6">
      <w:start w:val="1"/>
      <w:numFmt w:val="bullet"/>
      <w:lvlText w:val=""/>
      <w:lvlJc w:val="left"/>
      <w:pPr>
        <w:ind w:left="6480" w:hanging="360"/>
      </w:pPr>
      <w:rPr>
        <w:rFonts w:ascii="Wingdings" w:hAnsi="Wingdings" w:hint="default"/>
      </w:rPr>
    </w:lvl>
  </w:abstractNum>
  <w:abstractNum w:abstractNumId="1" w15:restartNumberingAfterBreak="0">
    <w:nsid w:val="14413E0D"/>
    <w:multiLevelType w:val="hybridMultilevel"/>
    <w:tmpl w:val="8366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264CC"/>
    <w:multiLevelType w:val="hybridMultilevel"/>
    <w:tmpl w:val="FFFFFFFF"/>
    <w:lvl w:ilvl="0" w:tplc="83C22DEE">
      <w:start w:val="1"/>
      <w:numFmt w:val="bullet"/>
      <w:lvlText w:val="·"/>
      <w:lvlJc w:val="left"/>
      <w:pPr>
        <w:ind w:left="720" w:hanging="360"/>
      </w:pPr>
      <w:rPr>
        <w:rFonts w:ascii="Symbol" w:hAnsi="Symbol" w:hint="default"/>
      </w:rPr>
    </w:lvl>
    <w:lvl w:ilvl="1" w:tplc="5AEC8774">
      <w:start w:val="1"/>
      <w:numFmt w:val="bullet"/>
      <w:lvlText w:val="o"/>
      <w:lvlJc w:val="left"/>
      <w:pPr>
        <w:ind w:left="1440" w:hanging="360"/>
      </w:pPr>
      <w:rPr>
        <w:rFonts w:ascii="Courier New" w:hAnsi="Courier New" w:hint="default"/>
      </w:rPr>
    </w:lvl>
    <w:lvl w:ilvl="2" w:tplc="DDACB20A">
      <w:start w:val="1"/>
      <w:numFmt w:val="bullet"/>
      <w:lvlText w:val=""/>
      <w:lvlJc w:val="left"/>
      <w:pPr>
        <w:ind w:left="2160" w:hanging="360"/>
      </w:pPr>
      <w:rPr>
        <w:rFonts w:ascii="Wingdings" w:hAnsi="Wingdings" w:hint="default"/>
      </w:rPr>
    </w:lvl>
    <w:lvl w:ilvl="3" w:tplc="9F5648EC">
      <w:start w:val="1"/>
      <w:numFmt w:val="bullet"/>
      <w:lvlText w:val=""/>
      <w:lvlJc w:val="left"/>
      <w:pPr>
        <w:ind w:left="2880" w:hanging="360"/>
      </w:pPr>
      <w:rPr>
        <w:rFonts w:ascii="Symbol" w:hAnsi="Symbol" w:hint="default"/>
      </w:rPr>
    </w:lvl>
    <w:lvl w:ilvl="4" w:tplc="FC74B618">
      <w:start w:val="1"/>
      <w:numFmt w:val="bullet"/>
      <w:lvlText w:val="o"/>
      <w:lvlJc w:val="left"/>
      <w:pPr>
        <w:ind w:left="3600" w:hanging="360"/>
      </w:pPr>
      <w:rPr>
        <w:rFonts w:ascii="Courier New" w:hAnsi="Courier New" w:hint="default"/>
      </w:rPr>
    </w:lvl>
    <w:lvl w:ilvl="5" w:tplc="5644F238">
      <w:start w:val="1"/>
      <w:numFmt w:val="bullet"/>
      <w:lvlText w:val=""/>
      <w:lvlJc w:val="left"/>
      <w:pPr>
        <w:ind w:left="4320" w:hanging="360"/>
      </w:pPr>
      <w:rPr>
        <w:rFonts w:ascii="Wingdings" w:hAnsi="Wingdings" w:hint="default"/>
      </w:rPr>
    </w:lvl>
    <w:lvl w:ilvl="6" w:tplc="002839CC">
      <w:start w:val="1"/>
      <w:numFmt w:val="bullet"/>
      <w:lvlText w:val=""/>
      <w:lvlJc w:val="left"/>
      <w:pPr>
        <w:ind w:left="5040" w:hanging="360"/>
      </w:pPr>
      <w:rPr>
        <w:rFonts w:ascii="Symbol" w:hAnsi="Symbol" w:hint="default"/>
      </w:rPr>
    </w:lvl>
    <w:lvl w:ilvl="7" w:tplc="AC166B72">
      <w:start w:val="1"/>
      <w:numFmt w:val="bullet"/>
      <w:lvlText w:val="o"/>
      <w:lvlJc w:val="left"/>
      <w:pPr>
        <w:ind w:left="5760" w:hanging="360"/>
      </w:pPr>
      <w:rPr>
        <w:rFonts w:ascii="Courier New" w:hAnsi="Courier New" w:hint="default"/>
      </w:rPr>
    </w:lvl>
    <w:lvl w:ilvl="8" w:tplc="594299A4">
      <w:start w:val="1"/>
      <w:numFmt w:val="bullet"/>
      <w:lvlText w:val=""/>
      <w:lvlJc w:val="left"/>
      <w:pPr>
        <w:ind w:left="6480" w:hanging="360"/>
      </w:pPr>
      <w:rPr>
        <w:rFonts w:ascii="Wingdings" w:hAnsi="Wingdings" w:hint="default"/>
      </w:rPr>
    </w:lvl>
  </w:abstractNum>
  <w:abstractNum w:abstractNumId="3" w15:restartNumberingAfterBreak="0">
    <w:nsid w:val="23151368"/>
    <w:multiLevelType w:val="hybridMultilevel"/>
    <w:tmpl w:val="B7220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0BE486F"/>
    <w:multiLevelType w:val="hybridMultilevel"/>
    <w:tmpl w:val="FFFFFFFF"/>
    <w:lvl w:ilvl="0" w:tplc="2D929C48">
      <w:start w:val="1"/>
      <w:numFmt w:val="bullet"/>
      <w:lvlText w:val="·"/>
      <w:lvlJc w:val="left"/>
      <w:pPr>
        <w:ind w:left="720" w:hanging="360"/>
      </w:pPr>
      <w:rPr>
        <w:rFonts w:ascii="Symbol" w:hAnsi="Symbol" w:hint="default"/>
      </w:rPr>
    </w:lvl>
    <w:lvl w:ilvl="1" w:tplc="EFC4EC4C">
      <w:start w:val="1"/>
      <w:numFmt w:val="bullet"/>
      <w:lvlText w:val="o"/>
      <w:lvlJc w:val="left"/>
      <w:pPr>
        <w:ind w:left="1440" w:hanging="360"/>
      </w:pPr>
      <w:rPr>
        <w:rFonts w:ascii="&quot;Courier New&quot;" w:hAnsi="&quot;Courier New&quot;" w:hint="default"/>
      </w:rPr>
    </w:lvl>
    <w:lvl w:ilvl="2" w:tplc="C46880EC">
      <w:start w:val="1"/>
      <w:numFmt w:val="bullet"/>
      <w:lvlText w:val="§"/>
      <w:lvlJc w:val="left"/>
      <w:pPr>
        <w:ind w:left="2160" w:hanging="360"/>
      </w:pPr>
      <w:rPr>
        <w:rFonts w:ascii="Wingdings" w:hAnsi="Wingdings" w:hint="default"/>
      </w:rPr>
    </w:lvl>
    <w:lvl w:ilvl="3" w:tplc="53B6FC4C">
      <w:start w:val="1"/>
      <w:numFmt w:val="bullet"/>
      <w:lvlText w:val=""/>
      <w:lvlJc w:val="left"/>
      <w:pPr>
        <w:ind w:left="2880" w:hanging="360"/>
      </w:pPr>
      <w:rPr>
        <w:rFonts w:ascii="Symbol" w:hAnsi="Symbol" w:hint="default"/>
      </w:rPr>
    </w:lvl>
    <w:lvl w:ilvl="4" w:tplc="ABAC5902">
      <w:start w:val="1"/>
      <w:numFmt w:val="bullet"/>
      <w:lvlText w:val="o"/>
      <w:lvlJc w:val="left"/>
      <w:pPr>
        <w:ind w:left="3600" w:hanging="360"/>
      </w:pPr>
      <w:rPr>
        <w:rFonts w:ascii="Courier New" w:hAnsi="Courier New" w:hint="default"/>
      </w:rPr>
    </w:lvl>
    <w:lvl w:ilvl="5" w:tplc="350A0936">
      <w:start w:val="1"/>
      <w:numFmt w:val="bullet"/>
      <w:lvlText w:val=""/>
      <w:lvlJc w:val="left"/>
      <w:pPr>
        <w:ind w:left="4320" w:hanging="360"/>
      </w:pPr>
      <w:rPr>
        <w:rFonts w:ascii="Wingdings" w:hAnsi="Wingdings" w:hint="default"/>
      </w:rPr>
    </w:lvl>
    <w:lvl w:ilvl="6" w:tplc="B6EE5098">
      <w:start w:val="1"/>
      <w:numFmt w:val="bullet"/>
      <w:lvlText w:val=""/>
      <w:lvlJc w:val="left"/>
      <w:pPr>
        <w:ind w:left="5040" w:hanging="360"/>
      </w:pPr>
      <w:rPr>
        <w:rFonts w:ascii="Symbol" w:hAnsi="Symbol" w:hint="default"/>
      </w:rPr>
    </w:lvl>
    <w:lvl w:ilvl="7" w:tplc="3F82BD36">
      <w:start w:val="1"/>
      <w:numFmt w:val="bullet"/>
      <w:lvlText w:val="o"/>
      <w:lvlJc w:val="left"/>
      <w:pPr>
        <w:ind w:left="5760" w:hanging="360"/>
      </w:pPr>
      <w:rPr>
        <w:rFonts w:ascii="Courier New" w:hAnsi="Courier New" w:hint="default"/>
      </w:rPr>
    </w:lvl>
    <w:lvl w:ilvl="8" w:tplc="6BA6235A">
      <w:start w:val="1"/>
      <w:numFmt w:val="bullet"/>
      <w:lvlText w:val=""/>
      <w:lvlJc w:val="left"/>
      <w:pPr>
        <w:ind w:left="6480" w:hanging="360"/>
      </w:pPr>
      <w:rPr>
        <w:rFonts w:ascii="Wingdings" w:hAnsi="Wingdings" w:hint="default"/>
      </w:rPr>
    </w:lvl>
  </w:abstractNum>
  <w:abstractNum w:abstractNumId="5" w15:restartNumberingAfterBreak="0">
    <w:nsid w:val="650D774D"/>
    <w:multiLevelType w:val="hybridMultilevel"/>
    <w:tmpl w:val="FFFFFFFF"/>
    <w:lvl w:ilvl="0" w:tplc="46FCB074">
      <w:start w:val="1"/>
      <w:numFmt w:val="bullet"/>
      <w:lvlText w:val="·"/>
      <w:lvlJc w:val="left"/>
      <w:pPr>
        <w:ind w:left="720" w:hanging="360"/>
      </w:pPr>
      <w:rPr>
        <w:rFonts w:ascii="Symbol" w:hAnsi="Symbol" w:hint="default"/>
      </w:rPr>
    </w:lvl>
    <w:lvl w:ilvl="1" w:tplc="F828C324">
      <w:start w:val="1"/>
      <w:numFmt w:val="bullet"/>
      <w:lvlText w:val="o"/>
      <w:lvlJc w:val="left"/>
      <w:pPr>
        <w:ind w:left="1440" w:hanging="360"/>
      </w:pPr>
      <w:rPr>
        <w:rFonts w:ascii="Courier New" w:hAnsi="Courier New" w:hint="default"/>
      </w:rPr>
    </w:lvl>
    <w:lvl w:ilvl="2" w:tplc="F3BE822C">
      <w:start w:val="1"/>
      <w:numFmt w:val="bullet"/>
      <w:lvlText w:val=""/>
      <w:lvlJc w:val="left"/>
      <w:pPr>
        <w:ind w:left="2160" w:hanging="360"/>
      </w:pPr>
      <w:rPr>
        <w:rFonts w:ascii="Wingdings" w:hAnsi="Wingdings" w:hint="default"/>
      </w:rPr>
    </w:lvl>
    <w:lvl w:ilvl="3" w:tplc="45ECEA3C">
      <w:start w:val="1"/>
      <w:numFmt w:val="bullet"/>
      <w:lvlText w:val=""/>
      <w:lvlJc w:val="left"/>
      <w:pPr>
        <w:ind w:left="2880" w:hanging="360"/>
      </w:pPr>
      <w:rPr>
        <w:rFonts w:ascii="Symbol" w:hAnsi="Symbol" w:hint="default"/>
      </w:rPr>
    </w:lvl>
    <w:lvl w:ilvl="4" w:tplc="BFE2CCEC">
      <w:start w:val="1"/>
      <w:numFmt w:val="bullet"/>
      <w:lvlText w:val="o"/>
      <w:lvlJc w:val="left"/>
      <w:pPr>
        <w:ind w:left="3600" w:hanging="360"/>
      </w:pPr>
      <w:rPr>
        <w:rFonts w:ascii="Courier New" w:hAnsi="Courier New" w:hint="default"/>
      </w:rPr>
    </w:lvl>
    <w:lvl w:ilvl="5" w:tplc="F54C1B90">
      <w:start w:val="1"/>
      <w:numFmt w:val="bullet"/>
      <w:lvlText w:val=""/>
      <w:lvlJc w:val="left"/>
      <w:pPr>
        <w:ind w:left="4320" w:hanging="360"/>
      </w:pPr>
      <w:rPr>
        <w:rFonts w:ascii="Wingdings" w:hAnsi="Wingdings" w:hint="default"/>
      </w:rPr>
    </w:lvl>
    <w:lvl w:ilvl="6" w:tplc="D416F584">
      <w:start w:val="1"/>
      <w:numFmt w:val="bullet"/>
      <w:lvlText w:val=""/>
      <w:lvlJc w:val="left"/>
      <w:pPr>
        <w:ind w:left="5040" w:hanging="360"/>
      </w:pPr>
      <w:rPr>
        <w:rFonts w:ascii="Symbol" w:hAnsi="Symbol" w:hint="default"/>
      </w:rPr>
    </w:lvl>
    <w:lvl w:ilvl="7" w:tplc="6908EAB8">
      <w:start w:val="1"/>
      <w:numFmt w:val="bullet"/>
      <w:lvlText w:val="o"/>
      <w:lvlJc w:val="left"/>
      <w:pPr>
        <w:ind w:left="5760" w:hanging="360"/>
      </w:pPr>
      <w:rPr>
        <w:rFonts w:ascii="Courier New" w:hAnsi="Courier New" w:hint="default"/>
      </w:rPr>
    </w:lvl>
    <w:lvl w:ilvl="8" w:tplc="499A2586">
      <w:start w:val="1"/>
      <w:numFmt w:val="bullet"/>
      <w:lvlText w:val=""/>
      <w:lvlJc w:val="left"/>
      <w:pPr>
        <w:ind w:left="6480" w:hanging="360"/>
      </w:pPr>
      <w:rPr>
        <w:rFonts w:ascii="Wingdings" w:hAnsi="Wingdings" w:hint="default"/>
      </w:rPr>
    </w:lvl>
  </w:abstractNum>
  <w:abstractNum w:abstractNumId="6" w15:restartNumberingAfterBreak="0">
    <w:nsid w:val="65CE6CA7"/>
    <w:multiLevelType w:val="hybridMultilevel"/>
    <w:tmpl w:val="FFFFFFFF"/>
    <w:lvl w:ilvl="0" w:tplc="01707CDA">
      <w:start w:val="1"/>
      <w:numFmt w:val="bullet"/>
      <w:lvlText w:val="·"/>
      <w:lvlJc w:val="left"/>
      <w:pPr>
        <w:ind w:left="720" w:hanging="360"/>
      </w:pPr>
      <w:rPr>
        <w:rFonts w:ascii="Symbol" w:hAnsi="Symbol" w:hint="default"/>
      </w:rPr>
    </w:lvl>
    <w:lvl w:ilvl="1" w:tplc="2CAAE752">
      <w:start w:val="1"/>
      <w:numFmt w:val="bullet"/>
      <w:lvlText w:val="o"/>
      <w:lvlJc w:val="left"/>
      <w:pPr>
        <w:ind w:left="1440" w:hanging="360"/>
      </w:pPr>
      <w:rPr>
        <w:rFonts w:ascii="&quot;Courier New&quot;" w:hAnsi="&quot;Courier New&quot;" w:hint="default"/>
      </w:rPr>
    </w:lvl>
    <w:lvl w:ilvl="2" w:tplc="D60E6F22">
      <w:start w:val="1"/>
      <w:numFmt w:val="bullet"/>
      <w:lvlText w:val=""/>
      <w:lvlJc w:val="left"/>
      <w:pPr>
        <w:ind w:left="2160" w:hanging="360"/>
      </w:pPr>
      <w:rPr>
        <w:rFonts w:ascii="Wingdings" w:hAnsi="Wingdings" w:hint="default"/>
      </w:rPr>
    </w:lvl>
    <w:lvl w:ilvl="3" w:tplc="D5C686C2">
      <w:start w:val="1"/>
      <w:numFmt w:val="bullet"/>
      <w:lvlText w:val=""/>
      <w:lvlJc w:val="left"/>
      <w:pPr>
        <w:ind w:left="2880" w:hanging="360"/>
      </w:pPr>
      <w:rPr>
        <w:rFonts w:ascii="Symbol" w:hAnsi="Symbol" w:hint="default"/>
      </w:rPr>
    </w:lvl>
    <w:lvl w:ilvl="4" w:tplc="37AE870C">
      <w:start w:val="1"/>
      <w:numFmt w:val="bullet"/>
      <w:lvlText w:val="o"/>
      <w:lvlJc w:val="left"/>
      <w:pPr>
        <w:ind w:left="3600" w:hanging="360"/>
      </w:pPr>
      <w:rPr>
        <w:rFonts w:ascii="Courier New" w:hAnsi="Courier New" w:hint="default"/>
      </w:rPr>
    </w:lvl>
    <w:lvl w:ilvl="5" w:tplc="51F0D378">
      <w:start w:val="1"/>
      <w:numFmt w:val="bullet"/>
      <w:lvlText w:val=""/>
      <w:lvlJc w:val="left"/>
      <w:pPr>
        <w:ind w:left="4320" w:hanging="360"/>
      </w:pPr>
      <w:rPr>
        <w:rFonts w:ascii="Wingdings" w:hAnsi="Wingdings" w:hint="default"/>
      </w:rPr>
    </w:lvl>
    <w:lvl w:ilvl="6" w:tplc="36DE56DC">
      <w:start w:val="1"/>
      <w:numFmt w:val="bullet"/>
      <w:lvlText w:val=""/>
      <w:lvlJc w:val="left"/>
      <w:pPr>
        <w:ind w:left="5040" w:hanging="360"/>
      </w:pPr>
      <w:rPr>
        <w:rFonts w:ascii="Symbol" w:hAnsi="Symbol" w:hint="default"/>
      </w:rPr>
    </w:lvl>
    <w:lvl w:ilvl="7" w:tplc="BDF4F49A">
      <w:start w:val="1"/>
      <w:numFmt w:val="bullet"/>
      <w:lvlText w:val="o"/>
      <w:lvlJc w:val="left"/>
      <w:pPr>
        <w:ind w:left="5760" w:hanging="360"/>
      </w:pPr>
      <w:rPr>
        <w:rFonts w:ascii="Courier New" w:hAnsi="Courier New" w:hint="default"/>
      </w:rPr>
    </w:lvl>
    <w:lvl w:ilvl="8" w:tplc="7CD42D70">
      <w:start w:val="1"/>
      <w:numFmt w:val="bullet"/>
      <w:lvlText w:val=""/>
      <w:lvlJc w:val="left"/>
      <w:pPr>
        <w:ind w:left="6480" w:hanging="360"/>
      </w:pPr>
      <w:rPr>
        <w:rFonts w:ascii="Wingdings" w:hAnsi="Wingdings" w:hint="default"/>
      </w:rPr>
    </w:lvl>
  </w:abstractNum>
  <w:num w:numId="1" w16cid:durableId="1297297298">
    <w:abstractNumId w:val="0"/>
  </w:num>
  <w:num w:numId="2" w16cid:durableId="1435397070">
    <w:abstractNumId w:val="2"/>
  </w:num>
  <w:num w:numId="3" w16cid:durableId="885069559">
    <w:abstractNumId w:val="5"/>
  </w:num>
  <w:num w:numId="4" w16cid:durableId="110128722">
    <w:abstractNumId w:val="6"/>
  </w:num>
  <w:num w:numId="5" w16cid:durableId="1253931270">
    <w:abstractNumId w:val="4"/>
  </w:num>
  <w:num w:numId="6" w16cid:durableId="2961093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2849958">
    <w:abstractNumId w:val="3"/>
  </w:num>
  <w:num w:numId="8" w16cid:durableId="1856765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E5"/>
    <w:rsid w:val="00002D10"/>
    <w:rsid w:val="00005EC7"/>
    <w:rsid w:val="00024D9C"/>
    <w:rsid w:val="00041D8B"/>
    <w:rsid w:val="000455EC"/>
    <w:rsid w:val="0004701F"/>
    <w:rsid w:val="00047ED0"/>
    <w:rsid w:val="000A2581"/>
    <w:rsid w:val="000A6FAF"/>
    <w:rsid w:val="000C3B66"/>
    <w:rsid w:val="000D0835"/>
    <w:rsid w:val="000D13B6"/>
    <w:rsid w:val="000D6120"/>
    <w:rsid w:val="000E4F85"/>
    <w:rsid w:val="000F12B0"/>
    <w:rsid w:val="0012333A"/>
    <w:rsid w:val="0012435B"/>
    <w:rsid w:val="0013273D"/>
    <w:rsid w:val="00137A06"/>
    <w:rsid w:val="00141DC7"/>
    <w:rsid w:val="0016212E"/>
    <w:rsid w:val="00170EFE"/>
    <w:rsid w:val="0018104D"/>
    <w:rsid w:val="00186A78"/>
    <w:rsid w:val="00187E27"/>
    <w:rsid w:val="001933AA"/>
    <w:rsid w:val="001A17C2"/>
    <w:rsid w:val="001A28AB"/>
    <w:rsid w:val="001A6769"/>
    <w:rsid w:val="001B226F"/>
    <w:rsid w:val="001CE11A"/>
    <w:rsid w:val="001D2B47"/>
    <w:rsid w:val="001DC404"/>
    <w:rsid w:val="001F72A7"/>
    <w:rsid w:val="002335AD"/>
    <w:rsid w:val="002379BC"/>
    <w:rsid w:val="00251FA7"/>
    <w:rsid w:val="002839F1"/>
    <w:rsid w:val="00296043"/>
    <w:rsid w:val="002A4FBC"/>
    <w:rsid w:val="002B0FBF"/>
    <w:rsid w:val="002C2855"/>
    <w:rsid w:val="002D0CC3"/>
    <w:rsid w:val="002DCA01"/>
    <w:rsid w:val="002E0117"/>
    <w:rsid w:val="002E675F"/>
    <w:rsid w:val="00303415"/>
    <w:rsid w:val="00323A96"/>
    <w:rsid w:val="003241C1"/>
    <w:rsid w:val="003249D3"/>
    <w:rsid w:val="00331DFE"/>
    <w:rsid w:val="003329E2"/>
    <w:rsid w:val="00334B32"/>
    <w:rsid w:val="00341E59"/>
    <w:rsid w:val="003541F5"/>
    <w:rsid w:val="00360D4B"/>
    <w:rsid w:val="003722CE"/>
    <w:rsid w:val="0038539E"/>
    <w:rsid w:val="00396206"/>
    <w:rsid w:val="003D05D2"/>
    <w:rsid w:val="003D4889"/>
    <w:rsid w:val="003D68D6"/>
    <w:rsid w:val="003F55C4"/>
    <w:rsid w:val="003F7896"/>
    <w:rsid w:val="00407367"/>
    <w:rsid w:val="00421572"/>
    <w:rsid w:val="004245D6"/>
    <w:rsid w:val="00431434"/>
    <w:rsid w:val="00440742"/>
    <w:rsid w:val="0044796F"/>
    <w:rsid w:val="00450B45"/>
    <w:rsid w:val="00454BEF"/>
    <w:rsid w:val="00460F24"/>
    <w:rsid w:val="00464334"/>
    <w:rsid w:val="00470CA7"/>
    <w:rsid w:val="0047443E"/>
    <w:rsid w:val="004771B1"/>
    <w:rsid w:val="004841E0"/>
    <w:rsid w:val="00484E8D"/>
    <w:rsid w:val="004D0744"/>
    <w:rsid w:val="004D30B0"/>
    <w:rsid w:val="00536EF5"/>
    <w:rsid w:val="00541454"/>
    <w:rsid w:val="005523A9"/>
    <w:rsid w:val="00552FEB"/>
    <w:rsid w:val="005639B4"/>
    <w:rsid w:val="0057440C"/>
    <w:rsid w:val="00584503"/>
    <w:rsid w:val="00586764"/>
    <w:rsid w:val="005A0410"/>
    <w:rsid w:val="005A14C2"/>
    <w:rsid w:val="005B112A"/>
    <w:rsid w:val="005B777C"/>
    <w:rsid w:val="005C353E"/>
    <w:rsid w:val="005C3FDE"/>
    <w:rsid w:val="005C764A"/>
    <w:rsid w:val="005D7236"/>
    <w:rsid w:val="005F3AB1"/>
    <w:rsid w:val="005F503A"/>
    <w:rsid w:val="0060376D"/>
    <w:rsid w:val="00615E17"/>
    <w:rsid w:val="00635D9D"/>
    <w:rsid w:val="00637AB8"/>
    <w:rsid w:val="0064209B"/>
    <w:rsid w:val="00653D72"/>
    <w:rsid w:val="00663D03"/>
    <w:rsid w:val="00670FC5"/>
    <w:rsid w:val="006856A1"/>
    <w:rsid w:val="006869CC"/>
    <w:rsid w:val="006923B5"/>
    <w:rsid w:val="006925ED"/>
    <w:rsid w:val="006A2125"/>
    <w:rsid w:val="006D24CF"/>
    <w:rsid w:val="00700382"/>
    <w:rsid w:val="00701AB2"/>
    <w:rsid w:val="0070791A"/>
    <w:rsid w:val="00712DCA"/>
    <w:rsid w:val="007152E2"/>
    <w:rsid w:val="00720FEE"/>
    <w:rsid w:val="0072558C"/>
    <w:rsid w:val="0076651C"/>
    <w:rsid w:val="00772A8C"/>
    <w:rsid w:val="0077623B"/>
    <w:rsid w:val="0079010E"/>
    <w:rsid w:val="00795D25"/>
    <w:rsid w:val="007A32C1"/>
    <w:rsid w:val="007A7B05"/>
    <w:rsid w:val="007D2724"/>
    <w:rsid w:val="007D40F1"/>
    <w:rsid w:val="007E58C7"/>
    <w:rsid w:val="00802008"/>
    <w:rsid w:val="008114E5"/>
    <w:rsid w:val="008169E1"/>
    <w:rsid w:val="0081794B"/>
    <w:rsid w:val="00840487"/>
    <w:rsid w:val="00854B99"/>
    <w:rsid w:val="00865D3C"/>
    <w:rsid w:val="00871624"/>
    <w:rsid w:val="00882521"/>
    <w:rsid w:val="008C21B1"/>
    <w:rsid w:val="008C6806"/>
    <w:rsid w:val="008D512B"/>
    <w:rsid w:val="008D6AAF"/>
    <w:rsid w:val="008E1A04"/>
    <w:rsid w:val="008F30E8"/>
    <w:rsid w:val="008F6552"/>
    <w:rsid w:val="00903278"/>
    <w:rsid w:val="00903EFB"/>
    <w:rsid w:val="00933479"/>
    <w:rsid w:val="00941B01"/>
    <w:rsid w:val="0095496B"/>
    <w:rsid w:val="009713DF"/>
    <w:rsid w:val="00993957"/>
    <w:rsid w:val="009A74BE"/>
    <w:rsid w:val="009B5CCA"/>
    <w:rsid w:val="009C07F1"/>
    <w:rsid w:val="009D3961"/>
    <w:rsid w:val="009E5EA6"/>
    <w:rsid w:val="009F531B"/>
    <w:rsid w:val="00A31D80"/>
    <w:rsid w:val="00A4584D"/>
    <w:rsid w:val="00A46122"/>
    <w:rsid w:val="00A72350"/>
    <w:rsid w:val="00A77DB5"/>
    <w:rsid w:val="00A9149A"/>
    <w:rsid w:val="00A91C32"/>
    <w:rsid w:val="00A932E5"/>
    <w:rsid w:val="00AA204B"/>
    <w:rsid w:val="00AB1091"/>
    <w:rsid w:val="00AB4079"/>
    <w:rsid w:val="00AC5DE0"/>
    <w:rsid w:val="00AD3166"/>
    <w:rsid w:val="00AE24CB"/>
    <w:rsid w:val="00AF0F4A"/>
    <w:rsid w:val="00B1080C"/>
    <w:rsid w:val="00B10B8A"/>
    <w:rsid w:val="00B57A2A"/>
    <w:rsid w:val="00B60CAC"/>
    <w:rsid w:val="00B630E0"/>
    <w:rsid w:val="00B74526"/>
    <w:rsid w:val="00B84E81"/>
    <w:rsid w:val="00B91AE1"/>
    <w:rsid w:val="00B968E5"/>
    <w:rsid w:val="00BA425C"/>
    <w:rsid w:val="00BB44C0"/>
    <w:rsid w:val="00BB548C"/>
    <w:rsid w:val="00BC259D"/>
    <w:rsid w:val="00BD628B"/>
    <w:rsid w:val="00BE5286"/>
    <w:rsid w:val="00BF3293"/>
    <w:rsid w:val="00C03D45"/>
    <w:rsid w:val="00C1123F"/>
    <w:rsid w:val="00C13A04"/>
    <w:rsid w:val="00C23565"/>
    <w:rsid w:val="00C34082"/>
    <w:rsid w:val="00C55FF0"/>
    <w:rsid w:val="00C56B7D"/>
    <w:rsid w:val="00C71ED8"/>
    <w:rsid w:val="00C73F70"/>
    <w:rsid w:val="00C80E61"/>
    <w:rsid w:val="00C81C7B"/>
    <w:rsid w:val="00C85C2F"/>
    <w:rsid w:val="00CB46EF"/>
    <w:rsid w:val="00CD0824"/>
    <w:rsid w:val="00CE0FC3"/>
    <w:rsid w:val="00CF1035"/>
    <w:rsid w:val="00CF376B"/>
    <w:rsid w:val="00CF5471"/>
    <w:rsid w:val="00CF6CB7"/>
    <w:rsid w:val="00D068ED"/>
    <w:rsid w:val="00D15CC0"/>
    <w:rsid w:val="00D238D5"/>
    <w:rsid w:val="00D23B72"/>
    <w:rsid w:val="00D312E0"/>
    <w:rsid w:val="00D347D7"/>
    <w:rsid w:val="00D46218"/>
    <w:rsid w:val="00D65B50"/>
    <w:rsid w:val="00D730CA"/>
    <w:rsid w:val="00D85ADB"/>
    <w:rsid w:val="00D8765E"/>
    <w:rsid w:val="00D93468"/>
    <w:rsid w:val="00D97F09"/>
    <w:rsid w:val="00DA2DEE"/>
    <w:rsid w:val="00DA550E"/>
    <w:rsid w:val="00DB5C7E"/>
    <w:rsid w:val="00DD0BE8"/>
    <w:rsid w:val="00DD3D2E"/>
    <w:rsid w:val="00DD5297"/>
    <w:rsid w:val="00DD7208"/>
    <w:rsid w:val="00DE3768"/>
    <w:rsid w:val="00DE3915"/>
    <w:rsid w:val="00DF6679"/>
    <w:rsid w:val="00E038C1"/>
    <w:rsid w:val="00E1406E"/>
    <w:rsid w:val="00E2067C"/>
    <w:rsid w:val="00E25C35"/>
    <w:rsid w:val="00E25EBD"/>
    <w:rsid w:val="00E319C1"/>
    <w:rsid w:val="00E32E27"/>
    <w:rsid w:val="00E407A5"/>
    <w:rsid w:val="00E525B0"/>
    <w:rsid w:val="00E56596"/>
    <w:rsid w:val="00E652A7"/>
    <w:rsid w:val="00E6E266"/>
    <w:rsid w:val="00E839A4"/>
    <w:rsid w:val="00E87946"/>
    <w:rsid w:val="00E9232A"/>
    <w:rsid w:val="00EC0893"/>
    <w:rsid w:val="00ED5C86"/>
    <w:rsid w:val="00ED65E8"/>
    <w:rsid w:val="00EE250E"/>
    <w:rsid w:val="00F032EE"/>
    <w:rsid w:val="00F036EE"/>
    <w:rsid w:val="00F0422D"/>
    <w:rsid w:val="00F0A7D1"/>
    <w:rsid w:val="00F226F4"/>
    <w:rsid w:val="00F26F8F"/>
    <w:rsid w:val="00F30AA1"/>
    <w:rsid w:val="00F365D4"/>
    <w:rsid w:val="00F44677"/>
    <w:rsid w:val="00F628C0"/>
    <w:rsid w:val="00F87ABF"/>
    <w:rsid w:val="00F9339F"/>
    <w:rsid w:val="00FA5E21"/>
    <w:rsid w:val="00FC445B"/>
    <w:rsid w:val="00FD35CB"/>
    <w:rsid w:val="00FD64EA"/>
    <w:rsid w:val="00FD7930"/>
    <w:rsid w:val="00FF5493"/>
    <w:rsid w:val="0181720E"/>
    <w:rsid w:val="01BCA68C"/>
    <w:rsid w:val="0200EEB9"/>
    <w:rsid w:val="020511A9"/>
    <w:rsid w:val="029B5AC4"/>
    <w:rsid w:val="02DCBEC5"/>
    <w:rsid w:val="0488E6D7"/>
    <w:rsid w:val="060768C8"/>
    <w:rsid w:val="0646C6D0"/>
    <w:rsid w:val="06D882CC"/>
    <w:rsid w:val="070073D6"/>
    <w:rsid w:val="0709E30D"/>
    <w:rsid w:val="07D13D94"/>
    <w:rsid w:val="09D73EEE"/>
    <w:rsid w:val="09F8E91D"/>
    <w:rsid w:val="0A2279F8"/>
    <w:rsid w:val="0A3403A7"/>
    <w:rsid w:val="0A6B4B19"/>
    <w:rsid w:val="0A6F6F44"/>
    <w:rsid w:val="0AA9A43F"/>
    <w:rsid w:val="0ADAFBD0"/>
    <w:rsid w:val="0B1CEF0C"/>
    <w:rsid w:val="0B1E1847"/>
    <w:rsid w:val="0B2741C9"/>
    <w:rsid w:val="0BEC698F"/>
    <w:rsid w:val="0C296FE0"/>
    <w:rsid w:val="0C40F7CE"/>
    <w:rsid w:val="0CF2C915"/>
    <w:rsid w:val="0D40B481"/>
    <w:rsid w:val="0DCA480D"/>
    <w:rsid w:val="0E02F271"/>
    <w:rsid w:val="0E2B78B1"/>
    <w:rsid w:val="0E994713"/>
    <w:rsid w:val="0EB6C0F4"/>
    <w:rsid w:val="0F0159EC"/>
    <w:rsid w:val="0F69E237"/>
    <w:rsid w:val="0F99AC31"/>
    <w:rsid w:val="1012CD1C"/>
    <w:rsid w:val="10D49C75"/>
    <w:rsid w:val="10F65614"/>
    <w:rsid w:val="111FFE50"/>
    <w:rsid w:val="11317438"/>
    <w:rsid w:val="115891AE"/>
    <w:rsid w:val="11906EF8"/>
    <w:rsid w:val="11D6179D"/>
    <w:rsid w:val="1299953A"/>
    <w:rsid w:val="129DB930"/>
    <w:rsid w:val="12E3DB06"/>
    <w:rsid w:val="1329C822"/>
    <w:rsid w:val="139DDD77"/>
    <w:rsid w:val="13E87A16"/>
    <w:rsid w:val="13F0B8EB"/>
    <w:rsid w:val="142E21A8"/>
    <w:rsid w:val="14722C52"/>
    <w:rsid w:val="147D0586"/>
    <w:rsid w:val="1484C053"/>
    <w:rsid w:val="14D242D0"/>
    <w:rsid w:val="14DEC0E0"/>
    <w:rsid w:val="15899FC2"/>
    <w:rsid w:val="163C8440"/>
    <w:rsid w:val="166168E4"/>
    <w:rsid w:val="16E8DEAD"/>
    <w:rsid w:val="1743DDF9"/>
    <w:rsid w:val="1774353A"/>
    <w:rsid w:val="18273B0D"/>
    <w:rsid w:val="18715730"/>
    <w:rsid w:val="18A1DAA8"/>
    <w:rsid w:val="18ED757E"/>
    <w:rsid w:val="19933378"/>
    <w:rsid w:val="19E90F6F"/>
    <w:rsid w:val="1ADD3D3A"/>
    <w:rsid w:val="1B45CB1F"/>
    <w:rsid w:val="1B57B5D3"/>
    <w:rsid w:val="1C81019C"/>
    <w:rsid w:val="1D2B934C"/>
    <w:rsid w:val="1E08D783"/>
    <w:rsid w:val="1E0F9F4D"/>
    <w:rsid w:val="1E63CD79"/>
    <w:rsid w:val="1E640177"/>
    <w:rsid w:val="1E7A89D1"/>
    <w:rsid w:val="1F4A5120"/>
    <w:rsid w:val="1F64CDBD"/>
    <w:rsid w:val="1FA3D4CD"/>
    <w:rsid w:val="1FF4765C"/>
    <w:rsid w:val="1FF645F6"/>
    <w:rsid w:val="20292BAC"/>
    <w:rsid w:val="2131E0F1"/>
    <w:rsid w:val="216DF257"/>
    <w:rsid w:val="22354D91"/>
    <w:rsid w:val="225B7669"/>
    <w:rsid w:val="23712BD5"/>
    <w:rsid w:val="23782E63"/>
    <w:rsid w:val="2399DD67"/>
    <w:rsid w:val="23E27855"/>
    <w:rsid w:val="240822B8"/>
    <w:rsid w:val="240E4E81"/>
    <w:rsid w:val="243E028D"/>
    <w:rsid w:val="24478C70"/>
    <w:rsid w:val="24C09234"/>
    <w:rsid w:val="24DE3002"/>
    <w:rsid w:val="250601F9"/>
    <w:rsid w:val="259B8727"/>
    <w:rsid w:val="262724D0"/>
    <w:rsid w:val="26A1D25A"/>
    <w:rsid w:val="26B2DB5B"/>
    <w:rsid w:val="26B85DF2"/>
    <w:rsid w:val="26E784C1"/>
    <w:rsid w:val="27354E32"/>
    <w:rsid w:val="28BFD9AA"/>
    <w:rsid w:val="2901D536"/>
    <w:rsid w:val="294ED9CF"/>
    <w:rsid w:val="296D6175"/>
    <w:rsid w:val="29967566"/>
    <w:rsid w:val="29AD8CE3"/>
    <w:rsid w:val="29EB58AF"/>
    <w:rsid w:val="2A255A77"/>
    <w:rsid w:val="2ACBE842"/>
    <w:rsid w:val="2B578821"/>
    <w:rsid w:val="2B7C8C0F"/>
    <w:rsid w:val="2E7BB76A"/>
    <w:rsid w:val="2E9E16B6"/>
    <w:rsid w:val="2EB2D2FA"/>
    <w:rsid w:val="2F696C69"/>
    <w:rsid w:val="2F81252B"/>
    <w:rsid w:val="2FB3E0BB"/>
    <w:rsid w:val="2FCE9A2B"/>
    <w:rsid w:val="30215992"/>
    <w:rsid w:val="3058C182"/>
    <w:rsid w:val="30BF9CDF"/>
    <w:rsid w:val="314AEBDC"/>
    <w:rsid w:val="314EF408"/>
    <w:rsid w:val="31835415"/>
    <w:rsid w:val="32061F15"/>
    <w:rsid w:val="320BD5E0"/>
    <w:rsid w:val="32173FF8"/>
    <w:rsid w:val="323755DD"/>
    <w:rsid w:val="325042D6"/>
    <w:rsid w:val="3260E1D2"/>
    <w:rsid w:val="329B7342"/>
    <w:rsid w:val="334F288D"/>
    <w:rsid w:val="33878546"/>
    <w:rsid w:val="33B5A2CC"/>
    <w:rsid w:val="341FD825"/>
    <w:rsid w:val="34728789"/>
    <w:rsid w:val="34E03677"/>
    <w:rsid w:val="35E66557"/>
    <w:rsid w:val="360E57EA"/>
    <w:rsid w:val="3652E51B"/>
    <w:rsid w:val="377DBBE3"/>
    <w:rsid w:val="3787D639"/>
    <w:rsid w:val="37C2FD14"/>
    <w:rsid w:val="37C7F5E8"/>
    <w:rsid w:val="38056B67"/>
    <w:rsid w:val="381FE88A"/>
    <w:rsid w:val="382773D4"/>
    <w:rsid w:val="38B0350E"/>
    <w:rsid w:val="38B6D699"/>
    <w:rsid w:val="38E4BE69"/>
    <w:rsid w:val="3A20E4EA"/>
    <w:rsid w:val="3A3D7C3E"/>
    <w:rsid w:val="3AAC151B"/>
    <w:rsid w:val="3C9106A9"/>
    <w:rsid w:val="3CF01B66"/>
    <w:rsid w:val="3D6F1965"/>
    <w:rsid w:val="3D8D0B12"/>
    <w:rsid w:val="3E73912D"/>
    <w:rsid w:val="3F249B40"/>
    <w:rsid w:val="3F5C6692"/>
    <w:rsid w:val="3F5F37ED"/>
    <w:rsid w:val="3FB55358"/>
    <w:rsid w:val="40423B42"/>
    <w:rsid w:val="40469930"/>
    <w:rsid w:val="40C1F6BA"/>
    <w:rsid w:val="42354A8A"/>
    <w:rsid w:val="42813CAA"/>
    <w:rsid w:val="42D33437"/>
    <w:rsid w:val="430F6BA2"/>
    <w:rsid w:val="431BA973"/>
    <w:rsid w:val="4329240F"/>
    <w:rsid w:val="436782F9"/>
    <w:rsid w:val="438CFE9E"/>
    <w:rsid w:val="43A67132"/>
    <w:rsid w:val="44BFBE1C"/>
    <w:rsid w:val="44F65A38"/>
    <w:rsid w:val="455EC4B8"/>
    <w:rsid w:val="456CF611"/>
    <w:rsid w:val="45D163A0"/>
    <w:rsid w:val="468E36DA"/>
    <w:rsid w:val="469F23BB"/>
    <w:rsid w:val="46A4DA9F"/>
    <w:rsid w:val="46C84FCC"/>
    <w:rsid w:val="4753D57B"/>
    <w:rsid w:val="476D3401"/>
    <w:rsid w:val="4826340F"/>
    <w:rsid w:val="487162B5"/>
    <w:rsid w:val="491C5691"/>
    <w:rsid w:val="493E2549"/>
    <w:rsid w:val="49616904"/>
    <w:rsid w:val="49F5AEC5"/>
    <w:rsid w:val="4A18C5D1"/>
    <w:rsid w:val="4A945E6D"/>
    <w:rsid w:val="4AFD3965"/>
    <w:rsid w:val="4B18AF26"/>
    <w:rsid w:val="4B2D04CC"/>
    <w:rsid w:val="4B87BD49"/>
    <w:rsid w:val="4B8B83A8"/>
    <w:rsid w:val="4BC30473"/>
    <w:rsid w:val="4BD71D10"/>
    <w:rsid w:val="4C004387"/>
    <w:rsid w:val="4C0058B4"/>
    <w:rsid w:val="4C59CD81"/>
    <w:rsid w:val="4C955637"/>
    <w:rsid w:val="4CF53CE2"/>
    <w:rsid w:val="4D157BB3"/>
    <w:rsid w:val="4D5BEB96"/>
    <w:rsid w:val="4D75A795"/>
    <w:rsid w:val="4DCE7C49"/>
    <w:rsid w:val="4DD3FC33"/>
    <w:rsid w:val="4E1A067A"/>
    <w:rsid w:val="4E3432AE"/>
    <w:rsid w:val="4EDE4C37"/>
    <w:rsid w:val="4F815643"/>
    <w:rsid w:val="50129D51"/>
    <w:rsid w:val="5085A08E"/>
    <w:rsid w:val="50B7337D"/>
    <w:rsid w:val="5106C66E"/>
    <w:rsid w:val="512FEC90"/>
    <w:rsid w:val="51D50797"/>
    <w:rsid w:val="51E436B4"/>
    <w:rsid w:val="51F315E0"/>
    <w:rsid w:val="5230C88E"/>
    <w:rsid w:val="528C8F06"/>
    <w:rsid w:val="532DB786"/>
    <w:rsid w:val="53357090"/>
    <w:rsid w:val="53647E66"/>
    <w:rsid w:val="53FEDDE9"/>
    <w:rsid w:val="543512AD"/>
    <w:rsid w:val="5440990F"/>
    <w:rsid w:val="546A9A64"/>
    <w:rsid w:val="54A35C99"/>
    <w:rsid w:val="555F7D4D"/>
    <w:rsid w:val="55B38F51"/>
    <w:rsid w:val="55E7876A"/>
    <w:rsid w:val="5617B86B"/>
    <w:rsid w:val="561F156C"/>
    <w:rsid w:val="57138CD4"/>
    <w:rsid w:val="57433E55"/>
    <w:rsid w:val="574F5FB2"/>
    <w:rsid w:val="578B4551"/>
    <w:rsid w:val="579682F4"/>
    <w:rsid w:val="57A9B7BF"/>
    <w:rsid w:val="57EE33B0"/>
    <w:rsid w:val="582E8F08"/>
    <w:rsid w:val="5A4B2D96"/>
    <w:rsid w:val="5AA972B8"/>
    <w:rsid w:val="5B08EDBD"/>
    <w:rsid w:val="5BD9FD4B"/>
    <w:rsid w:val="5C913095"/>
    <w:rsid w:val="5D0C584D"/>
    <w:rsid w:val="5D1693C8"/>
    <w:rsid w:val="5D316384"/>
    <w:rsid w:val="5D4819E6"/>
    <w:rsid w:val="5E3A9F3F"/>
    <w:rsid w:val="5EBC83D3"/>
    <w:rsid w:val="5EC1779E"/>
    <w:rsid w:val="5EFC7CCC"/>
    <w:rsid w:val="5EFCA722"/>
    <w:rsid w:val="5F29CA4B"/>
    <w:rsid w:val="5F36D615"/>
    <w:rsid w:val="5F3D083D"/>
    <w:rsid w:val="5F67CEC3"/>
    <w:rsid w:val="5FFE4F83"/>
    <w:rsid w:val="6070B933"/>
    <w:rsid w:val="609B36C2"/>
    <w:rsid w:val="61186144"/>
    <w:rsid w:val="6136B798"/>
    <w:rsid w:val="615C0FB0"/>
    <w:rsid w:val="61E89879"/>
    <w:rsid w:val="61EC7639"/>
    <w:rsid w:val="620B15CA"/>
    <w:rsid w:val="624A5618"/>
    <w:rsid w:val="629ADCE1"/>
    <w:rsid w:val="631A2F1E"/>
    <w:rsid w:val="633046E8"/>
    <w:rsid w:val="63A0A508"/>
    <w:rsid w:val="643819C8"/>
    <w:rsid w:val="644C0C89"/>
    <w:rsid w:val="64B9866E"/>
    <w:rsid w:val="65452F26"/>
    <w:rsid w:val="654B4097"/>
    <w:rsid w:val="654FC798"/>
    <w:rsid w:val="66207DD5"/>
    <w:rsid w:val="664D0D94"/>
    <w:rsid w:val="66E94639"/>
    <w:rsid w:val="672CBCD4"/>
    <w:rsid w:val="67A2916F"/>
    <w:rsid w:val="67BC4E36"/>
    <w:rsid w:val="68197323"/>
    <w:rsid w:val="681E48F8"/>
    <w:rsid w:val="68AAF4BC"/>
    <w:rsid w:val="68C0F7D7"/>
    <w:rsid w:val="69171A66"/>
    <w:rsid w:val="69924C99"/>
    <w:rsid w:val="6A2B94D0"/>
    <w:rsid w:val="6ACFA8C0"/>
    <w:rsid w:val="6ADC9665"/>
    <w:rsid w:val="6B53F0C7"/>
    <w:rsid w:val="6B5BC59F"/>
    <w:rsid w:val="6BB285D2"/>
    <w:rsid w:val="6D014CDE"/>
    <w:rsid w:val="6D424EB3"/>
    <w:rsid w:val="6D47874E"/>
    <w:rsid w:val="6DA0DFA8"/>
    <w:rsid w:val="6DA32195"/>
    <w:rsid w:val="6E7E7466"/>
    <w:rsid w:val="6EC765FF"/>
    <w:rsid w:val="6EC882DB"/>
    <w:rsid w:val="6EE25A2F"/>
    <w:rsid w:val="6EEDEF5D"/>
    <w:rsid w:val="6F8AA961"/>
    <w:rsid w:val="6F94C747"/>
    <w:rsid w:val="700AB7B9"/>
    <w:rsid w:val="7058ED03"/>
    <w:rsid w:val="70C29619"/>
    <w:rsid w:val="718FD21A"/>
    <w:rsid w:val="71A56524"/>
    <w:rsid w:val="71BE7868"/>
    <w:rsid w:val="71F03E93"/>
    <w:rsid w:val="725B286E"/>
    <w:rsid w:val="72B80C2B"/>
    <w:rsid w:val="732298F5"/>
    <w:rsid w:val="734EC4C7"/>
    <w:rsid w:val="736139E3"/>
    <w:rsid w:val="7386A82B"/>
    <w:rsid w:val="73BCEF27"/>
    <w:rsid w:val="73DC7B7F"/>
    <w:rsid w:val="746B80D0"/>
    <w:rsid w:val="7555DD10"/>
    <w:rsid w:val="755E5D73"/>
    <w:rsid w:val="76F6571A"/>
    <w:rsid w:val="76FAF3E4"/>
    <w:rsid w:val="7700AAC8"/>
    <w:rsid w:val="771FA97D"/>
    <w:rsid w:val="77A5B418"/>
    <w:rsid w:val="77AA1E5A"/>
    <w:rsid w:val="7857C88C"/>
    <w:rsid w:val="7879A147"/>
    <w:rsid w:val="78BB79DE"/>
    <w:rsid w:val="79749C90"/>
    <w:rsid w:val="79984F6F"/>
    <w:rsid w:val="7A983DB7"/>
    <w:rsid w:val="7ABB5746"/>
    <w:rsid w:val="7B106CF1"/>
    <w:rsid w:val="7BC9C83D"/>
    <w:rsid w:val="7BCE6507"/>
    <w:rsid w:val="7BD41BEB"/>
    <w:rsid w:val="7BEF98F9"/>
    <w:rsid w:val="7C674A6A"/>
    <w:rsid w:val="7CAFC77C"/>
    <w:rsid w:val="7D7B513E"/>
    <w:rsid w:val="7D95BF0D"/>
    <w:rsid w:val="7DFD0D5E"/>
    <w:rsid w:val="7E81E32D"/>
    <w:rsid w:val="7EFE9A0C"/>
    <w:rsid w:val="7F0168FF"/>
    <w:rsid w:val="7F1DCDD3"/>
    <w:rsid w:val="7F8DA9F3"/>
    <w:rsid w:val="7FF191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78DC"/>
  <w15:chartTrackingRefBased/>
  <w15:docId w15:val="{AFF0EE2B-274C-4FD9-8F7F-287D0ADC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35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35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C44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C235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356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C445B"/>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42157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21572"/>
    <w:pPr>
      <w:outlineLvl w:val="9"/>
    </w:pPr>
  </w:style>
  <w:style w:type="paragraph" w:styleId="TOC2">
    <w:name w:val="toc 2"/>
    <w:basedOn w:val="Normal"/>
    <w:next w:val="Normal"/>
    <w:autoRedefine/>
    <w:uiPriority w:val="39"/>
    <w:unhideWhenUsed/>
    <w:rsid w:val="00FD64EA"/>
    <w:pPr>
      <w:tabs>
        <w:tab w:val="right" w:leader="dot" w:pos="9350"/>
      </w:tabs>
      <w:spacing w:after="100"/>
      <w:ind w:left="220"/>
    </w:pPr>
  </w:style>
  <w:style w:type="paragraph" w:styleId="TOC3">
    <w:name w:val="toc 3"/>
    <w:basedOn w:val="Normal"/>
    <w:next w:val="Normal"/>
    <w:autoRedefine/>
    <w:uiPriority w:val="39"/>
    <w:unhideWhenUsed/>
    <w:rsid w:val="00421572"/>
    <w:pPr>
      <w:spacing w:after="100"/>
      <w:ind w:left="440"/>
    </w:pPr>
  </w:style>
  <w:style w:type="paragraph" w:styleId="NormalWeb">
    <w:name w:val="Normal (Web)"/>
    <w:basedOn w:val="Normal"/>
    <w:uiPriority w:val="99"/>
    <w:semiHidden/>
    <w:unhideWhenUsed/>
    <w:rsid w:val="005B777C"/>
    <w:pPr>
      <w:spacing w:before="100" w:beforeAutospacing="1" w:after="100" w:afterAutospacing="1" w:line="240" w:lineRule="auto"/>
    </w:pPr>
    <w:rPr>
      <w:rFonts w:ascii="Calibri" w:hAnsi="Calibri" w:cs="Calibri"/>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E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2E27"/>
    <w:rPr>
      <w:b/>
      <w:bCs/>
    </w:rPr>
  </w:style>
  <w:style w:type="character" w:customStyle="1" w:styleId="CommentSubjectChar">
    <w:name w:val="Comment Subject Char"/>
    <w:basedOn w:val="CommentTextChar"/>
    <w:link w:val="CommentSubject"/>
    <w:uiPriority w:val="99"/>
    <w:semiHidden/>
    <w:rsid w:val="00E32E27"/>
    <w:rPr>
      <w:b/>
      <w:bCs/>
      <w:sz w:val="20"/>
      <w:szCs w:val="20"/>
    </w:rPr>
  </w:style>
  <w:style w:type="character" w:styleId="UnresolvedMention">
    <w:name w:val="Unresolved Mention"/>
    <w:basedOn w:val="DefaultParagraphFont"/>
    <w:uiPriority w:val="99"/>
    <w:semiHidden/>
    <w:unhideWhenUsed/>
    <w:rsid w:val="008E1A04"/>
    <w:rPr>
      <w:color w:val="605E5C"/>
      <w:shd w:val="clear" w:color="auto" w:fill="E1DFDD"/>
    </w:rPr>
  </w:style>
  <w:style w:type="character" w:styleId="FollowedHyperlink">
    <w:name w:val="FollowedHyperlink"/>
    <w:basedOn w:val="DefaultParagraphFont"/>
    <w:uiPriority w:val="99"/>
    <w:semiHidden/>
    <w:unhideWhenUsed/>
    <w:rsid w:val="007D40F1"/>
    <w:rPr>
      <w:color w:val="954F72" w:themeColor="followedHyperlink"/>
      <w:u w:val="single"/>
    </w:rPr>
  </w:style>
  <w:style w:type="paragraph" w:styleId="Revision">
    <w:name w:val="Revision"/>
    <w:hidden/>
    <w:uiPriority w:val="99"/>
    <w:semiHidden/>
    <w:rsid w:val="00D97F09"/>
    <w:pPr>
      <w:spacing w:after="0" w:line="240" w:lineRule="auto"/>
    </w:pPr>
  </w:style>
  <w:style w:type="character" w:customStyle="1" w:styleId="eop">
    <w:name w:val="eop"/>
    <w:basedOn w:val="DefaultParagraphFont"/>
    <w:rsid w:val="609B36C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5726">
      <w:bodyDiv w:val="1"/>
      <w:marLeft w:val="0"/>
      <w:marRight w:val="0"/>
      <w:marTop w:val="0"/>
      <w:marBottom w:val="0"/>
      <w:divBdr>
        <w:top w:val="none" w:sz="0" w:space="0" w:color="auto"/>
        <w:left w:val="none" w:sz="0" w:space="0" w:color="auto"/>
        <w:bottom w:val="none" w:sz="0" w:space="0" w:color="auto"/>
        <w:right w:val="none" w:sz="0" w:space="0" w:color="auto"/>
      </w:divBdr>
    </w:div>
    <w:div w:id="756176956">
      <w:bodyDiv w:val="1"/>
      <w:marLeft w:val="0"/>
      <w:marRight w:val="0"/>
      <w:marTop w:val="0"/>
      <w:marBottom w:val="0"/>
      <w:divBdr>
        <w:top w:val="none" w:sz="0" w:space="0" w:color="auto"/>
        <w:left w:val="none" w:sz="0" w:space="0" w:color="auto"/>
        <w:bottom w:val="none" w:sz="0" w:space="0" w:color="auto"/>
        <w:right w:val="none" w:sz="0" w:space="0" w:color="auto"/>
      </w:divBdr>
    </w:div>
    <w:div w:id="190795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tes.psu.edu/academicaffairs/files/2023/07/NTL-promotion_COVID_6-30-23.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22" ma:contentTypeDescription="Create a new document." ma:contentTypeScope="" ma:versionID="103b878e3c26323c902087e2079d6cb5">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e73ffbc1dc53c0c3f7f5beebc506ef0c"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Not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Notes" ma:index="25" nillable="true" ma:displayName="Notes" ma:format="Dropdown" ma:internalName="Notes">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dfeb15aa-4b52-4f56-bcf6-e3f3236f5d04}" ma:internalName="TaxCatchAll" ma:showField="CatchAllData" ma:web="dba65f00-9443-482a-bf30-bb5af139a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5596cf31-caaa-46ba-a55f-3befb4344fdf" xsi:nil="true"/>
    <MigrationWizIdPermissions xmlns="5596cf31-caaa-46ba-a55f-3befb4344fdf" xsi:nil="true"/>
    <MigrationWizIdPermissionLevels xmlns="5596cf31-caaa-46ba-a55f-3befb4344fdf" xsi:nil="true"/>
    <MigrationWizIdDocumentLibraryPermissions xmlns="5596cf31-caaa-46ba-a55f-3befb4344fdf" xsi:nil="true"/>
    <MigrationWizIdSecurityGroups xmlns="5596cf31-caaa-46ba-a55f-3befb4344fdf" xsi:nil="true"/>
    <Notes xmlns="5596cf31-caaa-46ba-a55f-3befb4344fdf">final document</Notes>
    <SharedWithUsers xmlns="dba65f00-9443-482a-bf30-bb5af139a501">
      <UserInfo>
        <DisplayName>Bieschke, Kathleen</DisplayName>
        <AccountId>13</AccountId>
        <AccountType/>
      </UserInfo>
      <UserInfo>
        <DisplayName>Clements, Ann Callistro</DisplayName>
        <AccountId>330</AccountId>
        <AccountType/>
      </UserInfo>
      <UserInfo>
        <DisplayName>Parkes-Schnure, Karen</DisplayName>
        <AccountId>27</AccountId>
        <AccountType/>
      </UserInfo>
    </SharedWithUsers>
    <lcf76f155ced4ddcb4097134ff3c332f xmlns="5596cf31-caaa-46ba-a55f-3befb4344fdf">
      <Terms xmlns="http://schemas.microsoft.com/office/infopath/2007/PartnerControls"/>
    </lcf76f155ced4ddcb4097134ff3c332f>
    <TaxCatchAll xmlns="dba65f00-9443-482a-bf30-bb5af139a50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0FF80-D8EB-4FEE-99F3-96A2B8A73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6cf31-caaa-46ba-a55f-3befb4344fdf"/>
    <ds:schemaRef ds:uri="dba65f00-9443-482a-bf30-bb5af139a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9C879-8413-49C5-9288-8EA4732ADEDE}">
  <ds:schemaRefs>
    <ds:schemaRef ds:uri="http://schemas.microsoft.com/sharepoint/v3/contenttype/forms"/>
  </ds:schemaRefs>
</ds:datastoreItem>
</file>

<file path=customXml/itemProps3.xml><?xml version="1.0" encoding="utf-8"?>
<ds:datastoreItem xmlns:ds="http://schemas.openxmlformats.org/officeDocument/2006/customXml" ds:itemID="{D8C908E6-42C7-40C0-BEC0-F4C9E03AABCB}">
  <ds:schemaRefs>
    <ds:schemaRef ds:uri="http://schemas.microsoft.com/office/2006/metadata/properties"/>
    <ds:schemaRef ds:uri="http://schemas.microsoft.com/office/infopath/2007/PartnerControls"/>
    <ds:schemaRef ds:uri="5596cf31-caaa-46ba-a55f-3befb4344fdf"/>
    <ds:schemaRef ds:uri="dba65f00-9443-482a-bf30-bb5af139a501"/>
  </ds:schemaRefs>
</ds:datastoreItem>
</file>

<file path=customXml/itemProps4.xml><?xml version="1.0" encoding="utf-8"?>
<ds:datastoreItem xmlns:ds="http://schemas.openxmlformats.org/officeDocument/2006/customXml" ds:itemID="{763BF8B3-29E5-488D-95CB-E2CE1665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2293</Words>
  <Characters>12891</Characters>
  <Application>Microsoft Office Word</Application>
  <DocSecurity>0</DocSecurity>
  <Lines>268</Lines>
  <Paragraphs>119</Paragraphs>
  <ScaleCrop>false</ScaleCrop>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Mindy Sue</dc:creator>
  <cp:keywords/>
  <dc:description/>
  <cp:lastModifiedBy>Diehl, Abby</cp:lastModifiedBy>
  <cp:revision>282</cp:revision>
  <dcterms:created xsi:type="dcterms:W3CDTF">2021-12-08T00:15:00Z</dcterms:created>
  <dcterms:modified xsi:type="dcterms:W3CDTF">2023-07-03T17:30:00Z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0x0101001CD655222FAC69478FDB4DB9A1082BF0</vt:lpwstr>
  </property>
  <property fmtid="{D5CDD505-2E9C-101B-9397-08002B2CF9AE}" pid="3" name="MediaServiceImageTags">
    <vt:lpwstr/>
  </property>
</Properties>
</file>